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43" w:rsidRDefault="00E40343" w:rsidP="00E40343">
      <w:pPr>
        <w:autoSpaceDE w:val="0"/>
        <w:autoSpaceDN w:val="0"/>
        <w:adjustRightInd w:val="0"/>
        <w:spacing w:after="0" w:line="240" w:lineRule="auto"/>
        <w:rPr>
          <w:rFonts w:ascii="SharpGrotesk-Medium25" w:hAnsi="SharpGrotesk-Medium25" w:cs="SharpGrotesk-Medium25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72F16D">
            <wp:simplePos x="0" y="0"/>
            <wp:positionH relativeFrom="margin">
              <wp:posOffset>3341370</wp:posOffset>
            </wp:positionH>
            <wp:positionV relativeFrom="paragraph">
              <wp:posOffset>-690245</wp:posOffset>
            </wp:positionV>
            <wp:extent cx="1295400" cy="1948323"/>
            <wp:effectExtent l="0" t="0" r="0" b="0"/>
            <wp:wrapNone/>
            <wp:docPr id="3" name="Image 3" descr="Anna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a 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arpGrotesk-Medium25" w:hAnsi="SharpGrotesk-Medium25" w:cs="SharpGrotesk-Medium25"/>
          <w:sz w:val="48"/>
          <w:szCs w:val="48"/>
        </w:rPr>
        <w:t xml:space="preserve">David Seigneur </w:t>
      </w:r>
    </w:p>
    <w:p w:rsidR="00E40343" w:rsidRDefault="00E40343" w:rsidP="00E40343">
      <w:pPr>
        <w:autoSpaceDE w:val="0"/>
        <w:autoSpaceDN w:val="0"/>
        <w:adjustRightInd w:val="0"/>
        <w:spacing w:after="0" w:line="240" w:lineRule="auto"/>
        <w:rPr>
          <w:rFonts w:ascii="SharpGrotesk-Medium25" w:hAnsi="SharpGrotesk-Medium25" w:cs="SharpGrotesk-Medium25"/>
          <w:sz w:val="32"/>
          <w:szCs w:val="32"/>
        </w:rPr>
      </w:pPr>
    </w:p>
    <w:p w:rsidR="00E40343" w:rsidRDefault="00E40343" w:rsidP="00E40343">
      <w:pPr>
        <w:autoSpaceDE w:val="0"/>
        <w:autoSpaceDN w:val="0"/>
        <w:adjustRightInd w:val="0"/>
        <w:spacing w:after="0" w:line="240" w:lineRule="auto"/>
        <w:rPr>
          <w:rFonts w:ascii="SharpGrotesk-Medium25" w:hAnsi="SharpGrotesk-Medium25" w:cs="SharpGrotesk-Medium25"/>
          <w:sz w:val="32"/>
          <w:szCs w:val="32"/>
        </w:rPr>
      </w:pPr>
    </w:p>
    <w:p w:rsidR="00E40343" w:rsidRDefault="00E40343" w:rsidP="00E40343">
      <w:pPr>
        <w:autoSpaceDE w:val="0"/>
        <w:autoSpaceDN w:val="0"/>
        <w:adjustRightInd w:val="0"/>
        <w:spacing w:after="0" w:line="240" w:lineRule="auto"/>
        <w:rPr>
          <w:rFonts w:ascii="SharpGrotesk-Medium25" w:hAnsi="SharpGrotesk-Medium25" w:cs="SharpGrotesk-Medium25"/>
          <w:sz w:val="32"/>
          <w:szCs w:val="32"/>
        </w:rPr>
      </w:pPr>
    </w:p>
    <w:p w:rsidR="00E40343" w:rsidRDefault="00E40343" w:rsidP="00E40343">
      <w:pPr>
        <w:autoSpaceDE w:val="0"/>
        <w:autoSpaceDN w:val="0"/>
        <w:adjustRightInd w:val="0"/>
        <w:spacing w:after="0" w:line="240" w:lineRule="auto"/>
        <w:rPr>
          <w:rFonts w:ascii="SharpGrotesk-Medium25" w:hAnsi="SharpGrotesk-Medium25" w:cs="SharpGrotesk-Medium25"/>
          <w:sz w:val="32"/>
          <w:szCs w:val="32"/>
        </w:rPr>
      </w:pP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Formé à l’École Supérieure de Paris, sous la direction d’Yves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Pignot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puis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>Jean-Claude Cotillard, il en sort en 2002.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>Depuis il travaille essentiellement au théâtre. Il croise la route, entre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gramStart"/>
      <w:r w:rsidRPr="00E40343">
        <w:rPr>
          <w:rFonts w:ascii="SharpGrotesk-Medium20" w:hAnsi="SharpGrotesk-Medium20" w:cs="SharpGrotesk-Medium20"/>
          <w:sz w:val="24"/>
          <w:szCs w:val="24"/>
        </w:rPr>
        <w:t>autres</w:t>
      </w:r>
      <w:proofErr w:type="gram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, de Nicolas Briançon, Marcel Maréchal, Régis Santon,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Sotigui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Kouyaté,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Joël Jouanneau, Patrick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Roldez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, Aurélie Van Den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Daele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>, Éric Charon, Elsa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>Granat.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Il travaille régulièrement avec la compagnie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Scena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Nostra (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Naissance</w:t>
      </w:r>
      <w:r w:rsidRPr="00E40343">
        <w:rPr>
          <w:rFonts w:ascii="SharpGrotesk-Medium20" w:hAnsi="SharpGrotesk-Medium20" w:cs="SharpGrotesk-Medium20"/>
          <w:sz w:val="24"/>
          <w:szCs w:val="24"/>
        </w:rPr>
        <w:t>,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Immersion</w:t>
      </w:r>
      <w:r w:rsidRPr="00E40343">
        <w:rPr>
          <w:rFonts w:ascii="SharpGrotesk-Medium20" w:hAnsi="SharpGrotesk-Medium20" w:cs="SharpGrotesk-Medium20"/>
          <w:sz w:val="24"/>
          <w:szCs w:val="24"/>
        </w:rPr>
        <w:t xml:space="preserve">,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Les Brèves du futur</w:t>
      </w:r>
      <w:r w:rsidRPr="00E40343">
        <w:rPr>
          <w:rFonts w:ascii="SharpGrotesk-Medium20" w:hAnsi="SharpGrotesk-Medium20" w:cs="SharpGrotesk-Medium20"/>
          <w:sz w:val="24"/>
          <w:szCs w:val="24"/>
        </w:rPr>
        <w:t>).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Italic20" w:hAnsi="SharpGrotesk-MediumItalic20" w:cs="SharpGrotesk-MediumItalic20"/>
          <w:i/>
          <w:iCs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Depuis 2008, il participe à l’aventure du Collectif In Vitro :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Nous sommes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Italic20" w:hAnsi="SharpGrotesk-MediumItalic20" w:cs="SharpGrotesk-MediumItalic20"/>
          <w:i/>
          <w:iCs/>
          <w:sz w:val="24"/>
          <w:szCs w:val="24"/>
        </w:rPr>
      </w:pPr>
      <w:proofErr w:type="gramStart"/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seuls</w:t>
      </w:r>
      <w:proofErr w:type="gramEnd"/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 xml:space="preserve"> maintenant</w:t>
      </w:r>
      <w:r w:rsidRPr="00E40343">
        <w:rPr>
          <w:rFonts w:ascii="SharpGrotesk-Medium20" w:hAnsi="SharpGrotesk-Medium20" w:cs="SharpGrotesk-Medium20"/>
          <w:sz w:val="24"/>
          <w:szCs w:val="24"/>
        </w:rPr>
        <w:t xml:space="preserve">,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Catherine et Christian (fin de partie)</w:t>
      </w:r>
      <w:r w:rsidRPr="00E40343">
        <w:rPr>
          <w:rFonts w:ascii="SharpGrotesk-Medium20" w:hAnsi="SharpGrotesk-Medium20" w:cs="SharpGrotesk-Medium20"/>
          <w:sz w:val="24"/>
          <w:szCs w:val="24"/>
        </w:rPr>
        <w:t xml:space="preserve">,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Mélancolie(s)</w:t>
      </w:r>
      <w:r w:rsidRPr="00E40343">
        <w:rPr>
          <w:rFonts w:ascii="SharpGrotesk-Medium20" w:hAnsi="SharpGrotesk-Medium20" w:cs="SharpGrotesk-Medium20"/>
          <w:sz w:val="24"/>
          <w:szCs w:val="24"/>
        </w:rPr>
        <w:t xml:space="preserve">,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Un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gramStart"/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conte</w:t>
      </w:r>
      <w:proofErr w:type="gramEnd"/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 xml:space="preserve"> de Noël</w:t>
      </w:r>
      <w:r w:rsidRPr="00E40343">
        <w:rPr>
          <w:rFonts w:ascii="SharpGrotesk-Medium20" w:hAnsi="SharpGrotesk-Medium20" w:cs="SharpGrotesk-Medium20"/>
          <w:sz w:val="24"/>
          <w:szCs w:val="24"/>
        </w:rPr>
        <w:t xml:space="preserve">,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 xml:space="preserve">Huit heures ne font pas un jour, </w:t>
      </w:r>
      <w:proofErr w:type="spellStart"/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Welfare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>.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Au cinéma et à la télévision, il tourne sous la direction d’Éric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Guirado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>,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Jean-François Richet, Pierre Jolivet,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Alfed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Lot, Ludovic </w:t>
      </w: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Colbeau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>-Justin, Ève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spellStart"/>
      <w:r w:rsidRPr="00E40343">
        <w:rPr>
          <w:rFonts w:ascii="SharpGrotesk-Medium20" w:hAnsi="SharpGrotesk-Medium20" w:cs="SharpGrotesk-Medium20"/>
          <w:sz w:val="24"/>
          <w:szCs w:val="24"/>
        </w:rPr>
        <w:t>Deboise</w:t>
      </w:r>
      <w:proofErr w:type="spellEnd"/>
      <w:r w:rsidRPr="00E40343">
        <w:rPr>
          <w:rFonts w:ascii="SharpGrotesk-Medium20" w:hAnsi="SharpGrotesk-Medium20" w:cs="SharpGrotesk-Medium20"/>
          <w:sz w:val="24"/>
          <w:szCs w:val="24"/>
        </w:rPr>
        <w:t>.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 xml:space="preserve">En 2025, il joue dans le spectacle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>Pratique de la ceinture, Ô ventre</w:t>
      </w:r>
      <w:r w:rsidRPr="00E40343">
        <w:rPr>
          <w:rFonts w:ascii="SharpGrotesk-Medium20" w:hAnsi="SharpGrotesk-Medium20" w:cs="SharpGrotesk-Medium20"/>
          <w:sz w:val="24"/>
          <w:szCs w:val="24"/>
        </w:rPr>
        <w:t>, de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r w:rsidRPr="00E40343">
        <w:rPr>
          <w:rFonts w:ascii="SharpGrotesk-Medium20" w:hAnsi="SharpGrotesk-Medium20" w:cs="SharpGrotesk-Medium20"/>
          <w:sz w:val="24"/>
          <w:szCs w:val="24"/>
        </w:rPr>
        <w:t>Vanessa Amaral présenté au Théâtre Gérard Philipe, centre dramatique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gramStart"/>
      <w:r w:rsidRPr="00E40343">
        <w:rPr>
          <w:rFonts w:ascii="SharpGrotesk-Medium20" w:hAnsi="SharpGrotesk-Medium20" w:cs="SharpGrotesk-Medium20"/>
          <w:sz w:val="24"/>
          <w:szCs w:val="24"/>
        </w:rPr>
        <w:t>national</w:t>
      </w:r>
      <w:proofErr w:type="gram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de Saint-Denis du 12 au 16 mai 2025. Cette même année, il dirige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gramStart"/>
      <w:r w:rsidRPr="00E40343">
        <w:rPr>
          <w:rFonts w:ascii="SharpGrotesk-Medium20" w:hAnsi="SharpGrotesk-Medium20" w:cs="SharpGrotesk-Medium20"/>
          <w:sz w:val="24"/>
          <w:szCs w:val="24"/>
        </w:rPr>
        <w:t>avec</w:t>
      </w:r>
      <w:proofErr w:type="gram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Éric Charon, Aleksandra de Cizancourt, Magaly Godenaire, le projet</w:t>
      </w:r>
    </w:p>
    <w:p w:rsidR="00E40343" w:rsidRPr="00E40343" w:rsidRDefault="00E40343" w:rsidP="00E40343">
      <w:pPr>
        <w:autoSpaceDE w:val="0"/>
        <w:autoSpaceDN w:val="0"/>
        <w:adjustRightInd w:val="0"/>
        <w:spacing w:after="0" w:line="240" w:lineRule="auto"/>
        <w:jc w:val="both"/>
        <w:rPr>
          <w:rFonts w:ascii="SharpGrotesk-Medium20" w:hAnsi="SharpGrotesk-Medium20" w:cs="SharpGrotesk-Medium20"/>
          <w:sz w:val="24"/>
          <w:szCs w:val="24"/>
        </w:rPr>
      </w:pPr>
      <w:proofErr w:type="gramStart"/>
      <w:r w:rsidRPr="00E40343">
        <w:rPr>
          <w:rFonts w:ascii="SharpGrotesk-Medium20" w:hAnsi="SharpGrotesk-Medium20" w:cs="SharpGrotesk-Medium20"/>
          <w:sz w:val="24"/>
          <w:szCs w:val="24"/>
        </w:rPr>
        <w:t>participatif</w:t>
      </w:r>
      <w:proofErr w:type="gram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</w:t>
      </w:r>
      <w:r w:rsidRPr="00E40343">
        <w:rPr>
          <w:rFonts w:ascii="SharpGrotesk-MediumItalic20" w:hAnsi="SharpGrotesk-MediumItalic20" w:cs="SharpGrotesk-MediumItalic20"/>
          <w:i/>
          <w:iCs/>
          <w:sz w:val="24"/>
          <w:szCs w:val="24"/>
        </w:rPr>
        <w:t xml:space="preserve">Les Mystères de Saint-Denis </w:t>
      </w:r>
      <w:r w:rsidRPr="00E40343">
        <w:rPr>
          <w:rFonts w:ascii="SharpGrotesk-Medium20" w:hAnsi="SharpGrotesk-Medium20" w:cs="SharpGrotesk-Medium20"/>
          <w:sz w:val="24"/>
          <w:szCs w:val="24"/>
        </w:rPr>
        <w:t>présenté au Théâtre Gérard Philipe</w:t>
      </w:r>
    </w:p>
    <w:p w:rsidR="00083C8D" w:rsidRPr="00E40343" w:rsidRDefault="00E40343" w:rsidP="00E40343">
      <w:pPr>
        <w:jc w:val="both"/>
        <w:rPr>
          <w:sz w:val="24"/>
          <w:szCs w:val="24"/>
        </w:rPr>
      </w:pPr>
      <w:proofErr w:type="gramStart"/>
      <w:r w:rsidRPr="00E40343">
        <w:rPr>
          <w:rFonts w:ascii="SharpGrotesk-Medium20" w:hAnsi="SharpGrotesk-Medium20" w:cs="SharpGrotesk-Medium20"/>
          <w:sz w:val="24"/>
          <w:szCs w:val="24"/>
        </w:rPr>
        <w:t>les</w:t>
      </w:r>
      <w:proofErr w:type="gramEnd"/>
      <w:r w:rsidRPr="00E40343">
        <w:rPr>
          <w:rFonts w:ascii="SharpGrotesk-Medium20" w:hAnsi="SharpGrotesk-Medium20" w:cs="SharpGrotesk-Medium20"/>
          <w:sz w:val="24"/>
          <w:szCs w:val="24"/>
        </w:rPr>
        <w:t xml:space="preserve"> 13, 14 et 15 juin 2024.</w:t>
      </w:r>
      <w:bookmarkStart w:id="0" w:name="_GoBack"/>
      <w:bookmarkEnd w:id="0"/>
    </w:p>
    <w:sectPr w:rsidR="00083C8D" w:rsidRPr="00E4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Grotesk-Medium2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arpGrotesk-Medium20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  <w:font w:name="SharpGrotesk-MediumItalic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43"/>
    <w:rsid w:val="00083C8D"/>
    <w:rsid w:val="00E4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9F52"/>
  <w15:chartTrackingRefBased/>
  <w15:docId w15:val="{B6217B5D-642A-4686-99CD-830B300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Theatre de la cite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RP01</dc:creator>
  <cp:keywords/>
  <dc:description/>
  <cp:lastModifiedBy>RP01</cp:lastModifiedBy>
  <cp:revision>1</cp:revision>
  <dcterms:created xsi:type="dcterms:W3CDTF">2024-12-04T11:52:00Z</dcterms:created>
  <dcterms:modified xsi:type="dcterms:W3CDTF">2024-12-04T11:54:00Z</dcterms:modified>
</cp:coreProperties>
</file>