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8FE5B" w14:textId="5940232F" w:rsidR="00F43B70" w:rsidRDefault="004E33A1"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67FD2FCA" wp14:editId="1D123A39">
                <wp:simplePos x="0" y="0"/>
                <wp:positionH relativeFrom="margin">
                  <wp:posOffset>4645660</wp:posOffset>
                </wp:positionH>
                <wp:positionV relativeFrom="page">
                  <wp:posOffset>-4101465</wp:posOffset>
                </wp:positionV>
                <wp:extent cx="558165" cy="9017000"/>
                <wp:effectExtent l="0" t="317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58165" cy="90170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txbx>
                        <w:txbxContent>
                          <w:p w14:paraId="0A142346" w14:textId="6AD1AEA0" w:rsidR="004E33A1" w:rsidRPr="004E33A1" w:rsidRDefault="004E33A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3A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Elaborer une séquence d’apprentissage en résolution de problèmes à partir d’une comptine numérique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FD2FCA" id="Forme automatique 2" o:spid="_x0000_s1026" style="position:absolute;margin-left:365.8pt;margin-top:-322.95pt;width:43.95pt;height:710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" o:allowincell="f" fillcolor="#a5a5a5 [2092]" stroked="f">
                <v:textbox>
                  <w:txbxContent>
                    <w:p w14:paraId="0A142346" w14:textId="6AD1AEA0" w:rsidR="004E33A1" w:rsidRPr="004E33A1" w:rsidRDefault="004E33A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E33A1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32"/>
                          <w:szCs w:val="32"/>
                        </w:rPr>
                        <w:t>Elaborer une séquence d’apprentissage en résolution de problèmes à partir d’une comptine numérique :</w:t>
                      </w: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701"/>
        <w:gridCol w:w="2126"/>
        <w:gridCol w:w="4053"/>
      </w:tblGrid>
      <w:tr w:rsidR="004E33A1" w14:paraId="2AD794CA" w14:textId="77777777" w:rsidTr="004E33A1">
        <w:tc>
          <w:tcPr>
            <w:tcW w:w="7508" w:type="dxa"/>
            <w:gridSpan w:val="2"/>
            <w:shd w:val="clear" w:color="auto" w:fill="D9D9D9" w:themeFill="background1" w:themeFillShade="D9"/>
          </w:tcPr>
          <w:p w14:paraId="6BB96021" w14:textId="2A2844F4" w:rsidR="004E33A1" w:rsidRDefault="004E33A1">
            <w:r w:rsidRPr="004E33A1">
              <w:rPr>
                <w:b/>
                <w:bCs/>
              </w:rPr>
              <w:t>Domaine</w:t>
            </w:r>
            <w:r>
              <w:t xml:space="preserve"> : Acquérir les premiers outils mathématiques                         </w:t>
            </w:r>
          </w:p>
        </w:tc>
        <w:tc>
          <w:tcPr>
            <w:tcW w:w="7880" w:type="dxa"/>
            <w:gridSpan w:val="3"/>
            <w:shd w:val="clear" w:color="auto" w:fill="D9D9D9" w:themeFill="background1" w:themeFillShade="D9"/>
          </w:tcPr>
          <w:p w14:paraId="41A9D184" w14:textId="65EA0B12" w:rsidR="004E33A1" w:rsidRDefault="004E33A1">
            <w:r w:rsidRPr="004E33A1">
              <w:rPr>
                <w:b/>
                <w:bCs/>
              </w:rPr>
              <w:t>Sous-domaine</w:t>
            </w:r>
            <w:r>
              <w:t> : Découvrir les nombres et leurs utilisations</w:t>
            </w:r>
          </w:p>
        </w:tc>
      </w:tr>
      <w:tr w:rsidR="004E33A1" w14:paraId="511BADC9" w14:textId="77777777" w:rsidTr="004E33A1">
        <w:tc>
          <w:tcPr>
            <w:tcW w:w="15388" w:type="dxa"/>
            <w:gridSpan w:val="5"/>
            <w:shd w:val="clear" w:color="auto" w:fill="D9D9D9" w:themeFill="background1" w:themeFillShade="D9"/>
          </w:tcPr>
          <w:p w14:paraId="12F64CE1" w14:textId="77777777" w:rsidR="004E33A1" w:rsidRDefault="004E33A1" w:rsidP="004E33A1">
            <w:r w:rsidRPr="004E33A1">
              <w:rPr>
                <w:b/>
                <w:bCs/>
              </w:rPr>
              <w:t>Attendus de fin de cycle en lien avec la séquence</w:t>
            </w:r>
            <w:r>
              <w:t> :</w:t>
            </w:r>
          </w:p>
          <w:p w14:paraId="46AF28C4" w14:textId="77777777" w:rsidR="004E33A1" w:rsidRDefault="004E33A1"/>
          <w:p w14:paraId="13F5A084" w14:textId="5EB7A7D9" w:rsidR="004E33A1" w:rsidRDefault="004E33A1"/>
        </w:tc>
      </w:tr>
      <w:tr w:rsidR="004E33A1" w14:paraId="68D7F66D" w14:textId="77777777" w:rsidTr="004E33A1">
        <w:tc>
          <w:tcPr>
            <w:tcW w:w="7508" w:type="dxa"/>
            <w:gridSpan w:val="2"/>
            <w:shd w:val="clear" w:color="auto" w:fill="D9D9D9" w:themeFill="background1" w:themeFillShade="D9"/>
          </w:tcPr>
          <w:p w14:paraId="2DE6DCF3" w14:textId="716897D7" w:rsidR="004E33A1" w:rsidRDefault="004E33A1">
            <w:r w:rsidRPr="004E33A1">
              <w:rPr>
                <w:b/>
                <w:bCs/>
              </w:rPr>
              <w:t>Objectif</w:t>
            </w:r>
            <w:r>
              <w:t xml:space="preserve"> : Stabiliser la connaissance des petits nombres                         </w:t>
            </w:r>
          </w:p>
        </w:tc>
        <w:tc>
          <w:tcPr>
            <w:tcW w:w="7880" w:type="dxa"/>
            <w:gridSpan w:val="3"/>
            <w:shd w:val="clear" w:color="auto" w:fill="D9D9D9" w:themeFill="background1" w:themeFillShade="D9"/>
          </w:tcPr>
          <w:p w14:paraId="2C34C081" w14:textId="77777777" w:rsidR="004E33A1" w:rsidRDefault="004E33A1" w:rsidP="004E33A1">
            <w:r w:rsidRPr="004E33A1">
              <w:rPr>
                <w:b/>
                <w:bCs/>
              </w:rPr>
              <w:t>Compétences visées</w:t>
            </w:r>
            <w:r>
              <w:t xml:space="preserve"> : </w:t>
            </w:r>
          </w:p>
          <w:p w14:paraId="0CB72375" w14:textId="77777777" w:rsidR="004E33A1" w:rsidRDefault="004E33A1"/>
        </w:tc>
      </w:tr>
      <w:tr w:rsidR="004E33A1" w14:paraId="7530AF69" w14:textId="77777777" w:rsidTr="004E33A1">
        <w:trPr>
          <w:trHeight w:val="538"/>
        </w:trPr>
        <w:tc>
          <w:tcPr>
            <w:tcW w:w="15388" w:type="dxa"/>
            <w:gridSpan w:val="5"/>
            <w:shd w:val="clear" w:color="auto" w:fill="F2F2F2" w:themeFill="background1" w:themeFillShade="F2"/>
            <w:vAlign w:val="center"/>
          </w:tcPr>
          <w:p w14:paraId="2C5C8A41" w14:textId="20EB368D" w:rsidR="004E33A1" w:rsidRPr="00896C47" w:rsidRDefault="004E33A1" w:rsidP="004E33A1">
            <w:pPr>
              <w:jc w:val="center"/>
              <w:rPr>
                <w:b/>
                <w:bCs/>
                <w:highlight w:val="lightGray"/>
                <w:u w:val="single"/>
              </w:rPr>
            </w:pPr>
            <w:r w:rsidRPr="00896C47">
              <w:rPr>
                <w:rFonts w:ascii="Arial" w:hAnsi="Arial" w:cs="Arial"/>
                <w:b/>
                <w:bCs/>
                <w:sz w:val="23"/>
                <w:szCs w:val="23"/>
                <w:highlight w:val="lightGray"/>
                <w:u w:val="single"/>
                <w:shd w:val="clear" w:color="auto" w:fill="FFFFFF"/>
              </w:rPr>
              <w:t>Phase 1 : découverte et mémorisation de la comptine de référence</w:t>
            </w:r>
          </w:p>
        </w:tc>
      </w:tr>
      <w:tr w:rsidR="004E33A1" w14:paraId="0A7D43AF" w14:textId="77777777" w:rsidTr="004E33A1">
        <w:tc>
          <w:tcPr>
            <w:tcW w:w="11335" w:type="dxa"/>
            <w:gridSpan w:val="4"/>
          </w:tcPr>
          <w:p w14:paraId="34009475" w14:textId="1D95EEE3" w:rsidR="004E33A1" w:rsidRDefault="004E33A1" w:rsidP="004E33A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2115D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clear" w:color="auto" w:fill="FFFFFF"/>
              </w:rPr>
              <w:t>Etape 1</w:t>
            </w:r>
            <w:r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 xml:space="preserve"> : avant de présenter la comptine, construire </w:t>
            </w:r>
            <w:r w:rsidRPr="00D2115D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clear" w:color="auto" w:fill="FFFFFF"/>
              </w:rPr>
              <w:t>l’univers de référence</w:t>
            </w:r>
            <w:r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 xml:space="preserve"> pour préparer la compréhension</w:t>
            </w:r>
            <w:r w:rsidR="0069124E"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 xml:space="preserve"> </w:t>
            </w:r>
            <w:r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>du contexte et de la pratique sociale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109"/>
            </w:tblGrid>
            <w:tr w:rsidR="00D2115D" w14:paraId="537D0AB4" w14:textId="77777777" w:rsidTr="00D2115D">
              <w:tc>
                <w:tcPr>
                  <w:tcW w:w="11109" w:type="dxa"/>
                </w:tcPr>
                <w:p w14:paraId="7F108CC1" w14:textId="77777777" w:rsidR="00D2115D" w:rsidRDefault="00D2115D" w:rsidP="004E33A1">
                  <w:pPr>
                    <w:rPr>
                      <w:b/>
                      <w:bCs/>
                    </w:rPr>
                  </w:pPr>
                </w:p>
                <w:p w14:paraId="38F4C17F" w14:textId="77777777" w:rsidR="00D2115D" w:rsidRDefault="00D2115D" w:rsidP="004E33A1">
                  <w:pPr>
                    <w:rPr>
                      <w:b/>
                      <w:bCs/>
                    </w:rPr>
                  </w:pPr>
                </w:p>
                <w:p w14:paraId="20B008DE" w14:textId="77777777" w:rsidR="00D2115D" w:rsidRDefault="00D2115D" w:rsidP="004E33A1">
                  <w:pPr>
                    <w:rPr>
                      <w:b/>
                      <w:bCs/>
                    </w:rPr>
                  </w:pPr>
                </w:p>
                <w:p w14:paraId="1C50FD6C" w14:textId="77777777" w:rsidR="00D2115D" w:rsidRDefault="00D2115D" w:rsidP="004E33A1">
                  <w:pPr>
                    <w:rPr>
                      <w:b/>
                      <w:bCs/>
                    </w:rPr>
                  </w:pPr>
                </w:p>
                <w:p w14:paraId="6A16EABA" w14:textId="77777777" w:rsidR="00D2115D" w:rsidRDefault="00D2115D" w:rsidP="004E33A1">
                  <w:pPr>
                    <w:rPr>
                      <w:b/>
                      <w:bCs/>
                    </w:rPr>
                  </w:pPr>
                </w:p>
                <w:p w14:paraId="0C37E140" w14:textId="77777777" w:rsidR="00D2115D" w:rsidRDefault="00D2115D" w:rsidP="004E33A1">
                  <w:pPr>
                    <w:rPr>
                      <w:b/>
                      <w:bCs/>
                    </w:rPr>
                  </w:pPr>
                </w:p>
                <w:p w14:paraId="6DEDB671" w14:textId="77777777" w:rsidR="00D2115D" w:rsidRDefault="00D2115D" w:rsidP="004E33A1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1784113" w14:textId="77777777" w:rsidR="004E33A1" w:rsidRDefault="004E33A1" w:rsidP="004E33A1">
            <w:pPr>
              <w:rPr>
                <w:b/>
                <w:bCs/>
              </w:rPr>
            </w:pPr>
          </w:p>
          <w:p w14:paraId="148CB2AA" w14:textId="74BB2DF1" w:rsidR="004E33A1" w:rsidRDefault="004E33A1" w:rsidP="004E33A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2115D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clear" w:color="auto" w:fill="FFFFFF"/>
              </w:rPr>
              <w:t>Etape 2 : Présenter la comptine</w:t>
            </w:r>
            <w:r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> : où ? Contexte spécifique (salle de motricité) ? Matériel ?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109"/>
            </w:tblGrid>
            <w:tr w:rsidR="00D2115D" w14:paraId="2E3170F9" w14:textId="77777777" w:rsidTr="00D2115D">
              <w:tc>
                <w:tcPr>
                  <w:tcW w:w="11109" w:type="dxa"/>
                </w:tcPr>
                <w:p w14:paraId="481AE387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4A979D1D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35735108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23F85E2C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0A4195A7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1116EF14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37DE89B7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1BF557AE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</w:tbl>
          <w:p w14:paraId="74F51E56" w14:textId="6F91FD29" w:rsidR="004E33A1" w:rsidRDefault="004E33A1" w:rsidP="004E33A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EA9F765" w14:textId="67990A08" w:rsidR="004E33A1" w:rsidRDefault="004E33A1" w:rsidP="004E33A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2115D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clear" w:color="auto" w:fill="FFFFFF"/>
              </w:rPr>
              <w:t>Etape 3 : enseigner la mémorisation du texte</w:t>
            </w:r>
            <w:r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 xml:space="preserve"> de la comptine en prenant appui sur des activités musicales</w:t>
            </w:r>
            <w:r w:rsidR="0069124E"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 xml:space="preserve"> </w:t>
            </w:r>
            <w:r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>en classe (jeux de voix ? Instruments ? Modalités de récitation ?)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109"/>
            </w:tblGrid>
            <w:tr w:rsidR="00D2115D" w14:paraId="39A04D28" w14:textId="77777777" w:rsidTr="00D2115D">
              <w:tc>
                <w:tcPr>
                  <w:tcW w:w="11109" w:type="dxa"/>
                </w:tcPr>
                <w:p w14:paraId="6F55F4D7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4F9EC142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1868E336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0AE1471E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7F71FBB9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52D2E064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7EF743A7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62FDB1F1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</w:tbl>
          <w:p w14:paraId="7989E3E1" w14:textId="4E98EF16" w:rsidR="004E33A1" w:rsidRDefault="004E33A1" w:rsidP="004E33A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C190545" w14:textId="46EBFF95" w:rsidR="00896C47" w:rsidRDefault="00896C47" w:rsidP="004E33A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66B8D6F6" w14:textId="77777777" w:rsidR="00896C47" w:rsidRDefault="00896C47" w:rsidP="004E33A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2E291A5" w14:textId="516B0678" w:rsidR="004E33A1" w:rsidRDefault="00896C47" w:rsidP="004E33A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2115D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clear" w:color="auto" w:fill="FFFFFF"/>
              </w:rPr>
              <w:lastRenderedPageBreak/>
              <w:t>Etape 4 : adapter le texte de la comptine</w:t>
            </w:r>
            <w:r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 xml:space="preserve"> pour se constituer un outil d’aide à l’apprentissage (ou au</w:t>
            </w:r>
            <w:r w:rsidR="0069124E"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 xml:space="preserve"> </w:t>
            </w:r>
            <w:r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 xml:space="preserve">rebrassage) </w:t>
            </w:r>
            <w:r w:rsidRPr="00D2115D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clear" w:color="auto" w:fill="FFFFFF"/>
              </w:rPr>
              <w:t>des décompositions visées</w:t>
            </w:r>
            <w:r w:rsidRPr="00D2115D">
              <w:rPr>
                <w:rFonts w:ascii="Arial" w:hAnsi="Arial" w:cs="Arial"/>
                <w:sz w:val="18"/>
                <w:szCs w:val="18"/>
                <w:highlight w:val="lightGray"/>
                <w:shd w:val="clear" w:color="auto" w:fill="FFFFFF"/>
              </w:rPr>
              <w:t xml:space="preserve"> par la séquence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109"/>
            </w:tblGrid>
            <w:tr w:rsidR="00D2115D" w14:paraId="0D5AAD9E" w14:textId="77777777" w:rsidTr="00D2115D">
              <w:tc>
                <w:tcPr>
                  <w:tcW w:w="11109" w:type="dxa"/>
                </w:tcPr>
                <w:p w14:paraId="6EEB4A03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5383481B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6E7206C0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2779F6E0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0D00C46C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717C1CED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416EAB0E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09F250CE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3012A4EF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564E4435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  <w:p w14:paraId="7C7AC814" w14:textId="77777777" w:rsidR="00D2115D" w:rsidRDefault="00D2115D" w:rsidP="004E33A1">
                  <w:pPr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</w:tbl>
          <w:p w14:paraId="49018A2C" w14:textId="48FA1459" w:rsidR="004E33A1" w:rsidRPr="004E33A1" w:rsidRDefault="004E33A1" w:rsidP="004E33A1">
            <w:pPr>
              <w:rPr>
                <w:b/>
                <w:bCs/>
              </w:rPr>
            </w:pPr>
          </w:p>
        </w:tc>
        <w:tc>
          <w:tcPr>
            <w:tcW w:w="4053" w:type="dxa"/>
          </w:tcPr>
          <w:p w14:paraId="56C91B81" w14:textId="77777777" w:rsidR="004E33A1" w:rsidRDefault="004E33A1" w:rsidP="004E33A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Gestes professionnels favorables :</w:t>
            </w:r>
          </w:p>
          <w:p w14:paraId="4DD1F3A8" w14:textId="132467D7" w:rsidR="00D2115D" w:rsidRPr="00D2115D" w:rsidRDefault="00D2115D" w:rsidP="004E33A1">
            <w:pPr>
              <w:rPr>
                <w:bCs/>
              </w:rPr>
            </w:pPr>
            <w:r w:rsidRPr="00D2115D">
              <w:rPr>
                <w:bCs/>
              </w:rPr>
              <w:t>(cf. Repères de progressivité)</w:t>
            </w:r>
          </w:p>
        </w:tc>
      </w:tr>
      <w:tr w:rsidR="00896C47" w14:paraId="0E778DD9" w14:textId="77777777" w:rsidTr="00896C47">
        <w:trPr>
          <w:trHeight w:val="538"/>
        </w:trPr>
        <w:tc>
          <w:tcPr>
            <w:tcW w:w="15388" w:type="dxa"/>
            <w:gridSpan w:val="5"/>
            <w:shd w:val="clear" w:color="auto" w:fill="F2F2F2" w:themeFill="background1" w:themeFillShade="F2"/>
            <w:vAlign w:val="center"/>
          </w:tcPr>
          <w:p w14:paraId="7FABDB11" w14:textId="77777777" w:rsidR="00896C47" w:rsidRPr="00896C47" w:rsidRDefault="00896C47" w:rsidP="00896C47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highlight w:val="lightGray"/>
                <w:lang w:eastAsia="fr-FR"/>
              </w:rPr>
            </w:pPr>
            <w:r w:rsidRPr="00896C47">
              <w:rPr>
                <w:rFonts w:ascii="Arial" w:eastAsia="Times New Roman" w:hAnsi="Arial" w:cs="Arial"/>
                <w:b/>
                <w:bCs/>
                <w:sz w:val="23"/>
                <w:szCs w:val="23"/>
                <w:highlight w:val="lightGray"/>
                <w:lang w:eastAsia="fr-FR"/>
              </w:rPr>
              <w:t>Phase 2 : situations-problèmes progressives en lien avec la comptine</w:t>
            </w:r>
          </w:p>
          <w:p w14:paraId="3F006D8D" w14:textId="7BC9DF64" w:rsidR="00B82BC0" w:rsidRPr="00896C47" w:rsidRDefault="00896C47" w:rsidP="00B82B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fr-FR"/>
              </w:rPr>
            </w:pPr>
            <w:r w:rsidRPr="00896C47">
              <w:rPr>
                <w:rStyle w:val="markedcontent"/>
                <w:rFonts w:ascii="Arial" w:hAnsi="Arial" w:cs="Arial"/>
                <w:sz w:val="16"/>
                <w:szCs w:val="16"/>
                <w:highlight w:val="lightGray"/>
              </w:rPr>
              <w:t xml:space="preserve">Les situations suivantes visent à confronter les élèves avec un problème dans un contexte numérique. Plusieurs types de problèmes sont proposés, en lien </w:t>
            </w:r>
            <w:r w:rsidRPr="00896C47">
              <w:rPr>
                <w:rStyle w:val="markedcontent"/>
                <w:rFonts w:ascii="Arial" w:hAnsi="Arial" w:cs="Arial"/>
                <w:sz w:val="16"/>
                <w:szCs w:val="16"/>
                <w:highlight w:val="lightGray"/>
                <w:shd w:val="clear" w:color="auto" w:fill="FFFFFF"/>
              </w:rPr>
              <w:t xml:space="preserve">avec les attendus du programme. Différentes stratégies de résolution sont envisageables, à commencer par celles qui mobilisent une manipulation des objets. L’objectif de l’enseignement est de </w:t>
            </w:r>
            <w:r w:rsidRPr="00896C47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highlight w:val="lightGray"/>
                <w:shd w:val="clear" w:color="auto" w:fill="FFFFFF"/>
              </w:rPr>
              <w:t>faire émerger progressivement la stratégie numérique</w:t>
            </w:r>
            <w:r w:rsidRPr="00896C47">
              <w:rPr>
                <w:rStyle w:val="markedcontent"/>
                <w:rFonts w:ascii="Arial" w:hAnsi="Arial" w:cs="Arial"/>
                <w:sz w:val="16"/>
                <w:szCs w:val="16"/>
                <w:highlight w:val="lightGray"/>
                <w:shd w:val="clear" w:color="auto" w:fill="FFFFFF"/>
              </w:rPr>
              <w:t xml:space="preserve"> qui mobilise directement la connaissance des </w:t>
            </w:r>
            <w:r w:rsidRPr="00896C47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highlight w:val="lightGray"/>
                <w:shd w:val="clear" w:color="auto" w:fill="FFFFFF"/>
              </w:rPr>
              <w:t>relations entre les nombres, les décompositions</w:t>
            </w:r>
          </w:p>
        </w:tc>
      </w:tr>
      <w:tr w:rsidR="00896C47" w:rsidRPr="00896C47" w14:paraId="3BBB531C" w14:textId="77777777" w:rsidTr="00D2115D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38143F36" w14:textId="77777777" w:rsidR="00896C47" w:rsidRDefault="00896C47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896C4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TABLEAU 1 - 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yellow"/>
                <w:shd w:val="clear" w:color="auto" w:fill="FFFFFF"/>
              </w:rPr>
              <w:t>Situations de comparaison</w:t>
            </w:r>
            <w:r w:rsidRPr="00896C4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: constituer une collection de même cardinal qu’une collection donnée et valider son action en</w:t>
            </w:r>
            <w:r w:rsidRPr="00896C47">
              <w:rPr>
                <w:rFonts w:ascii="Arial" w:hAnsi="Arial" w:cs="Arial"/>
                <w:b/>
                <w:bCs/>
                <w:shd w:val="clear" w:color="auto" w:fill="FFFFFF"/>
              </w:rPr>
              <w:br/>
            </w:r>
            <w:r w:rsidRPr="00896C47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comparant les deux collections.</w:t>
            </w:r>
          </w:p>
          <w:p w14:paraId="2626DB64" w14:textId="5C2B7B77" w:rsidR="00B82BC0" w:rsidRPr="00896C47" w:rsidRDefault="00B82BC0">
            <w:pPr>
              <w:rPr>
                <w:b/>
                <w:bCs/>
              </w:rPr>
            </w:pPr>
          </w:p>
        </w:tc>
      </w:tr>
      <w:tr w:rsidR="00D2115D" w:rsidRPr="00D2115D" w14:paraId="72F09BC3" w14:textId="77777777" w:rsidTr="00D2115D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23A709" w14:textId="0D8FF91B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Niveau (x) :</w:t>
            </w:r>
          </w:p>
        </w:tc>
        <w:tc>
          <w:tcPr>
            <w:tcW w:w="7796" w:type="dxa"/>
            <w:gridSpan w:val="2"/>
            <w:shd w:val="clear" w:color="auto" w:fill="F2F2F2" w:themeFill="background1" w:themeFillShade="F2"/>
          </w:tcPr>
          <w:p w14:paraId="30CBDFE8" w14:textId="45D8FC20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Situations mathématiques / variables didactiques</w:t>
            </w:r>
          </w:p>
        </w:tc>
        <w:tc>
          <w:tcPr>
            <w:tcW w:w="6179" w:type="dxa"/>
            <w:gridSpan w:val="2"/>
            <w:shd w:val="clear" w:color="auto" w:fill="F2F2F2" w:themeFill="background1" w:themeFillShade="F2"/>
          </w:tcPr>
          <w:p w14:paraId="597830AF" w14:textId="45C6CBE8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Verbalisation / Représentation(s) de la situation : </w:t>
            </w:r>
          </w:p>
        </w:tc>
      </w:tr>
      <w:tr w:rsidR="00D2115D" w14:paraId="504711D7" w14:textId="77777777" w:rsidTr="00964AE9">
        <w:trPr>
          <w:trHeight w:val="1177"/>
        </w:trPr>
        <w:tc>
          <w:tcPr>
            <w:tcW w:w="1413" w:type="dxa"/>
            <w:vAlign w:val="center"/>
          </w:tcPr>
          <w:p w14:paraId="03DE95CF" w14:textId="778AB2B2" w:rsidR="00D2115D" w:rsidRPr="00896C47" w:rsidRDefault="00D2115D" w:rsidP="00D2115D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6" w:type="dxa"/>
            <w:gridSpan w:val="2"/>
          </w:tcPr>
          <w:p w14:paraId="68EC2776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6B2D247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539C3A9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4140A61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FDEF8DE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7FE1705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9C5E167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764E3F2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4895EE1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509BEC5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D25D688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79" w:type="dxa"/>
            <w:gridSpan w:val="2"/>
          </w:tcPr>
          <w:p w14:paraId="71EDF118" w14:textId="5D0E2CEE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2115D" w:rsidRPr="00964AE9" w14:paraId="7B553F89" w14:textId="77777777" w:rsidTr="00D2115D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73B31407" w14:textId="77777777" w:rsidR="00B82BC0" w:rsidRDefault="00B82BC0" w:rsidP="00D2115D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039FABE" w14:textId="600E7882" w:rsidR="00D2115D" w:rsidRPr="00964AE9" w:rsidRDefault="00D2115D" w:rsidP="00D2115D">
            <w:pPr>
              <w:rPr>
                <w:b/>
                <w:bCs/>
              </w:rPr>
            </w:pPr>
            <w:r w:rsidRPr="00964AE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TABLEAU 2 - 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yellow"/>
                <w:shd w:val="clear" w:color="auto" w:fill="FFFFFF"/>
              </w:rPr>
              <w:t>Situations de composition de collections</w:t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: rechercher le résultat de la réunion des collections (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yellow"/>
                <w:shd w:val="clear" w:color="auto" w:fill="FFFFFF"/>
              </w:rPr>
              <w:t>le tout)</w:t>
            </w:r>
            <w:r w:rsidRPr="00964AE9">
              <w:rPr>
                <w:rFonts w:ascii="Arial" w:hAnsi="Arial" w:cs="Arial"/>
                <w:b/>
                <w:bCs/>
                <w:shd w:val="clear" w:color="auto" w:fill="FFFFFF"/>
              </w:rPr>
              <w:br/>
            </w:r>
          </w:p>
        </w:tc>
      </w:tr>
      <w:tr w:rsidR="00D2115D" w:rsidRPr="00D2115D" w14:paraId="7E0A8B93" w14:textId="77777777" w:rsidTr="00D2115D">
        <w:tc>
          <w:tcPr>
            <w:tcW w:w="1413" w:type="dxa"/>
            <w:shd w:val="clear" w:color="auto" w:fill="F2F2F2" w:themeFill="background1" w:themeFillShade="F2"/>
          </w:tcPr>
          <w:p w14:paraId="107355FF" w14:textId="536060DC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Niveau (x) :</w:t>
            </w:r>
          </w:p>
        </w:tc>
        <w:tc>
          <w:tcPr>
            <w:tcW w:w="7796" w:type="dxa"/>
            <w:gridSpan w:val="2"/>
            <w:shd w:val="clear" w:color="auto" w:fill="F2F2F2" w:themeFill="background1" w:themeFillShade="F2"/>
          </w:tcPr>
          <w:p w14:paraId="33B6C86B" w14:textId="77777777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Situations mathématiques / variables didactiques</w:t>
            </w:r>
          </w:p>
        </w:tc>
        <w:tc>
          <w:tcPr>
            <w:tcW w:w="6179" w:type="dxa"/>
            <w:gridSpan w:val="2"/>
            <w:shd w:val="clear" w:color="auto" w:fill="F2F2F2" w:themeFill="background1" w:themeFillShade="F2"/>
          </w:tcPr>
          <w:p w14:paraId="06336DDE" w14:textId="77777777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Verbalisation / Représentation(s) de la situation : </w:t>
            </w:r>
          </w:p>
        </w:tc>
      </w:tr>
      <w:tr w:rsidR="00D2115D" w14:paraId="10DD4864" w14:textId="77777777" w:rsidTr="00D22965">
        <w:trPr>
          <w:trHeight w:val="1177"/>
        </w:trPr>
        <w:tc>
          <w:tcPr>
            <w:tcW w:w="1413" w:type="dxa"/>
            <w:vAlign w:val="center"/>
          </w:tcPr>
          <w:p w14:paraId="759993DD" w14:textId="7AE823DF" w:rsidR="00D2115D" w:rsidRPr="00896C47" w:rsidRDefault="00D2115D" w:rsidP="00D2115D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6" w:type="dxa"/>
            <w:gridSpan w:val="2"/>
          </w:tcPr>
          <w:p w14:paraId="626384F4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EF07DF4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B1CB00B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69A4486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743C12A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D564519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1A58595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D2ED2DE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85C5561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FCA8318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79" w:type="dxa"/>
            <w:gridSpan w:val="2"/>
          </w:tcPr>
          <w:p w14:paraId="3713E24C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2115D" w:rsidRPr="00964AE9" w14:paraId="5D298800" w14:textId="77777777" w:rsidTr="00D2115D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0A8C0B4C" w14:textId="77777777" w:rsidR="00B82BC0" w:rsidRDefault="00B82BC0" w:rsidP="00D2115D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99A21C6" w14:textId="77777777" w:rsidR="00D2115D" w:rsidRDefault="00D2115D" w:rsidP="00D2115D">
            <w:pPr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64AE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TABLEAU 3 - 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yellow"/>
                <w:shd w:val="clear" w:color="auto" w:fill="FFFFFF"/>
              </w:rPr>
              <w:t>Situations de composition de collections</w:t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: rechercher le résultat de la réunion des collections (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yellow"/>
                <w:shd w:val="clear" w:color="auto" w:fill="FFFFFF"/>
              </w:rPr>
              <w:t>le tout)</w:t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et rechercher le</w:t>
            </w:r>
            <w:r w:rsidRPr="00964AE9">
              <w:rPr>
                <w:rFonts w:ascii="Arial" w:hAnsi="Arial" w:cs="Arial"/>
                <w:b/>
                <w:bCs/>
                <w:shd w:val="clear" w:color="auto" w:fill="FFFFFF"/>
              </w:rPr>
              <w:br/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complément (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yellow"/>
                <w:shd w:val="clear" w:color="auto" w:fill="FFFFFF"/>
              </w:rPr>
              <w:t>la partie</w:t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  <w:p w14:paraId="4CE08A61" w14:textId="7E38B1EB" w:rsidR="00B82BC0" w:rsidRPr="00964AE9" w:rsidRDefault="00B82BC0" w:rsidP="00D2115D">
            <w:pPr>
              <w:rPr>
                <w:b/>
                <w:bCs/>
              </w:rPr>
            </w:pPr>
          </w:p>
        </w:tc>
      </w:tr>
      <w:tr w:rsidR="00D2115D" w:rsidRPr="00D2115D" w14:paraId="72C5CF6A" w14:textId="77777777" w:rsidTr="00D2115D">
        <w:tc>
          <w:tcPr>
            <w:tcW w:w="1413" w:type="dxa"/>
            <w:shd w:val="clear" w:color="auto" w:fill="F2F2F2" w:themeFill="background1" w:themeFillShade="F2"/>
          </w:tcPr>
          <w:p w14:paraId="1D533CE5" w14:textId="3CC20936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Niveau (x) :</w:t>
            </w:r>
          </w:p>
        </w:tc>
        <w:tc>
          <w:tcPr>
            <w:tcW w:w="7796" w:type="dxa"/>
            <w:gridSpan w:val="2"/>
            <w:shd w:val="clear" w:color="auto" w:fill="F2F2F2" w:themeFill="background1" w:themeFillShade="F2"/>
          </w:tcPr>
          <w:p w14:paraId="1D53EF51" w14:textId="77777777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Situations mathématiques / variables didactiques</w:t>
            </w:r>
          </w:p>
        </w:tc>
        <w:tc>
          <w:tcPr>
            <w:tcW w:w="6179" w:type="dxa"/>
            <w:gridSpan w:val="2"/>
            <w:shd w:val="clear" w:color="auto" w:fill="F2F2F2" w:themeFill="background1" w:themeFillShade="F2"/>
          </w:tcPr>
          <w:p w14:paraId="3810ACE6" w14:textId="77777777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Verbalisation / Représentation(s) de la situation : </w:t>
            </w:r>
          </w:p>
        </w:tc>
      </w:tr>
      <w:tr w:rsidR="00D2115D" w14:paraId="61D1C202" w14:textId="77777777" w:rsidTr="00D22965">
        <w:trPr>
          <w:trHeight w:val="1177"/>
        </w:trPr>
        <w:tc>
          <w:tcPr>
            <w:tcW w:w="1413" w:type="dxa"/>
            <w:vAlign w:val="center"/>
          </w:tcPr>
          <w:p w14:paraId="29B309E0" w14:textId="36B51840" w:rsidR="00D2115D" w:rsidRPr="00896C47" w:rsidRDefault="00D2115D" w:rsidP="00D2115D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6" w:type="dxa"/>
            <w:gridSpan w:val="2"/>
          </w:tcPr>
          <w:p w14:paraId="1B4DAED4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E38CD5D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42B342A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87CFEC1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E462799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46A1198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431B52F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200920F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90E877D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D70A917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AF015F4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48E8D4C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79" w:type="dxa"/>
            <w:gridSpan w:val="2"/>
          </w:tcPr>
          <w:p w14:paraId="7BCF7BEA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2115D" w14:paraId="76C7DFFA" w14:textId="77777777" w:rsidTr="00D22965">
        <w:trPr>
          <w:trHeight w:val="538"/>
        </w:trPr>
        <w:tc>
          <w:tcPr>
            <w:tcW w:w="15388" w:type="dxa"/>
            <w:gridSpan w:val="5"/>
            <w:shd w:val="clear" w:color="auto" w:fill="F2F2F2" w:themeFill="background1" w:themeFillShade="F2"/>
            <w:vAlign w:val="center"/>
          </w:tcPr>
          <w:p w14:paraId="1613B9AA" w14:textId="77777777" w:rsidR="00B82BC0" w:rsidRDefault="00B82BC0" w:rsidP="00D2115D">
            <w:pPr>
              <w:shd w:val="clear" w:color="auto" w:fill="FFFFFF"/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</w:pPr>
          </w:p>
          <w:p w14:paraId="0DC66E3A" w14:textId="77777777" w:rsidR="00D2115D" w:rsidRDefault="00D2115D" w:rsidP="00B82BC0">
            <w:pPr>
              <w:shd w:val="clear" w:color="auto" w:fill="FFFFFF"/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</w:pPr>
            <w:r w:rsidRPr="00964AE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PHASE 3 : Situations de partage non équitable, sans reste : séances de STRUCTURATION sur les décompositions des 10 premiers nombres</w:t>
            </w:r>
            <w:r w:rsidRPr="00964AE9">
              <w:rPr>
                <w:rFonts w:ascii="Arial" w:hAnsi="Arial" w:cs="Arial"/>
                <w:b/>
                <w:bCs/>
                <w:highlight w:val="lightGray"/>
                <w:shd w:val="clear" w:color="auto" w:fill="FFFFFF"/>
              </w:rPr>
              <w:br/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Contexte de l’activité :</w:t>
            </w:r>
          </w:p>
          <w:p w14:paraId="6247C7C6" w14:textId="6FFA1635" w:rsidR="00B82BC0" w:rsidRPr="00964AE9" w:rsidRDefault="00B82BC0" w:rsidP="00D211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fr-FR"/>
              </w:rPr>
            </w:pPr>
          </w:p>
        </w:tc>
      </w:tr>
      <w:tr w:rsidR="00D2115D" w:rsidRPr="00D2115D" w14:paraId="00B82710" w14:textId="77777777" w:rsidTr="00B82BC0">
        <w:tc>
          <w:tcPr>
            <w:tcW w:w="1413" w:type="dxa"/>
            <w:shd w:val="clear" w:color="auto" w:fill="F2F2F2" w:themeFill="background1" w:themeFillShade="F2"/>
          </w:tcPr>
          <w:p w14:paraId="6D81CD1E" w14:textId="53C8C157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Niveau (x) :</w:t>
            </w:r>
          </w:p>
        </w:tc>
        <w:tc>
          <w:tcPr>
            <w:tcW w:w="7796" w:type="dxa"/>
            <w:gridSpan w:val="2"/>
            <w:shd w:val="clear" w:color="auto" w:fill="F2F2F2" w:themeFill="background1" w:themeFillShade="F2"/>
          </w:tcPr>
          <w:p w14:paraId="27A6D88F" w14:textId="77777777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Situations mathématiques / variables didactiques</w:t>
            </w:r>
          </w:p>
        </w:tc>
        <w:tc>
          <w:tcPr>
            <w:tcW w:w="6179" w:type="dxa"/>
            <w:gridSpan w:val="2"/>
            <w:shd w:val="clear" w:color="auto" w:fill="F2F2F2" w:themeFill="background1" w:themeFillShade="F2"/>
          </w:tcPr>
          <w:p w14:paraId="46CEA5B7" w14:textId="77777777" w:rsidR="00D2115D" w:rsidRPr="00D2115D" w:rsidRDefault="00D2115D" w:rsidP="00D2115D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D2115D">
              <w:rPr>
                <w:rStyle w:val="markedcontent"/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Verbalisation / Représentation(s) de la situation : </w:t>
            </w:r>
          </w:p>
        </w:tc>
      </w:tr>
      <w:tr w:rsidR="00D2115D" w14:paraId="7B9E23C1" w14:textId="77777777" w:rsidTr="00D22965">
        <w:trPr>
          <w:trHeight w:val="1177"/>
        </w:trPr>
        <w:tc>
          <w:tcPr>
            <w:tcW w:w="1413" w:type="dxa"/>
            <w:vAlign w:val="center"/>
          </w:tcPr>
          <w:p w14:paraId="33BF5287" w14:textId="610641E5" w:rsidR="00D2115D" w:rsidRPr="00896C47" w:rsidRDefault="00D2115D" w:rsidP="00D2115D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6" w:type="dxa"/>
            <w:gridSpan w:val="2"/>
          </w:tcPr>
          <w:p w14:paraId="5786F693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FAE436F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B5DF7F5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EFE2495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6CE32E8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F83D2C3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07F54C8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FE4287C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EF22736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AD740B8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EDAC7A9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F394C92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43B4CB0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1F9D8FF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DCDC3FC" w14:textId="77777777" w:rsidR="00B82BC0" w:rsidRDefault="00B82BC0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79" w:type="dxa"/>
            <w:gridSpan w:val="2"/>
          </w:tcPr>
          <w:p w14:paraId="69E46FB3" w14:textId="77777777" w:rsidR="00D2115D" w:rsidRDefault="00D2115D" w:rsidP="00D2115D">
            <w:pPr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D2115D" w14:paraId="4FF4C828" w14:textId="77777777" w:rsidTr="00D22965">
        <w:trPr>
          <w:trHeight w:val="538"/>
        </w:trPr>
        <w:tc>
          <w:tcPr>
            <w:tcW w:w="15388" w:type="dxa"/>
            <w:gridSpan w:val="5"/>
            <w:shd w:val="clear" w:color="auto" w:fill="F2F2F2" w:themeFill="background1" w:themeFillShade="F2"/>
            <w:vAlign w:val="center"/>
          </w:tcPr>
          <w:p w14:paraId="4CCB56FD" w14:textId="77777777" w:rsidR="00D2115D" w:rsidRDefault="00D2115D" w:rsidP="00D2115D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highlight w:val="lightGray"/>
                <w:lang w:eastAsia="fr-FR"/>
              </w:rPr>
            </w:pPr>
            <w:r w:rsidRPr="00964AE9">
              <w:rPr>
                <w:rFonts w:ascii="Arial" w:eastAsia="Times New Roman" w:hAnsi="Arial" w:cs="Arial"/>
                <w:b/>
                <w:bCs/>
                <w:sz w:val="23"/>
                <w:szCs w:val="23"/>
                <w:highlight w:val="lightGray"/>
                <w:lang w:eastAsia="fr-FR"/>
              </w:rPr>
              <w:t>Phase 4 : situations d’entraînement</w:t>
            </w:r>
          </w:p>
          <w:p w14:paraId="7144A66B" w14:textId="77777777" w:rsidR="00D2115D" w:rsidRDefault="00D2115D" w:rsidP="00D2115D">
            <w:pPr>
              <w:shd w:val="clear" w:color="auto" w:fill="FFFFFF"/>
              <w:rPr>
                <w:rStyle w:val="markedcontent"/>
                <w:sz w:val="16"/>
                <w:szCs w:val="16"/>
              </w:rPr>
            </w:pPr>
            <w:r w:rsidRPr="00964AE9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Afin de permettre aux élèves de </w:t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stabiliser la connaissance</w:t>
            </w:r>
            <w:r w:rsidRPr="00964AE9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des décompositions au service de la résolution d’un problème, l’enseignant organise de </w:t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multiples situations d’entraînement</w:t>
            </w:r>
            <w:r w:rsidRPr="00964AE9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dans des </w:t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contextes très variés.</w:t>
            </w:r>
            <w:r w:rsidRPr="00964AE9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L’objectif est que les élèves apprennent à </w:t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mobiliser les décompositions</w:t>
            </w:r>
            <w:r w:rsidRPr="00964AE9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lorsque cela est pertinent, sans associer cette stratégie</w:t>
            </w:r>
            <w:r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964AE9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>à un contexte particulier.</w:t>
            </w:r>
            <w:r w:rsidRPr="00964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Pr="00964AE9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>Dès la PS, les situations d’entraînement sont introduites en activité dirigée. Elles sont ensuite proposées de nouveau en autonomie, en MS dès que cela semble possible et en</w:t>
            </w:r>
            <w:r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964AE9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>GS. L’enseignant observe les stratégies et difficultés des élèves pour organiser des temps de remédiation, soit en APC, soit le matin à l’accueil, soit dans le cadre de nouveaux</w:t>
            </w:r>
            <w:r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964AE9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>ateliers dirigés, en groupes de besoin</w:t>
            </w:r>
            <w:r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  <w:p w14:paraId="468739A7" w14:textId="77777777" w:rsidR="00D2115D" w:rsidRDefault="00D2115D" w:rsidP="00D2115D">
            <w:pPr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Le tableau suivant répertorie </w:t>
            </w:r>
            <w:r w:rsidRPr="00964AE9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>quelques situations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que l’on peut proposer pour entraîner les connaissances sur les décompositions.</w:t>
            </w:r>
          </w:p>
          <w:p w14:paraId="1AEEA320" w14:textId="7C68C8F4" w:rsidR="00D2115D" w:rsidRPr="00964AE9" w:rsidRDefault="00D2115D" w:rsidP="00D2115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eastAsia="fr-FR"/>
              </w:rPr>
              <w:t xml:space="preserve">Toutes ses activités sont décrites sur 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eastAsia="fr-FR"/>
              </w:rPr>
              <w:t>digipad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eastAsia="fr-FR"/>
              </w:rPr>
              <w:t>.</w:t>
            </w:r>
          </w:p>
        </w:tc>
      </w:tr>
    </w:tbl>
    <w:p w14:paraId="1A47F29A" w14:textId="01448F98" w:rsidR="00896C47" w:rsidRDefault="00964AE9">
      <w:r w:rsidRPr="00964AE9">
        <w:rPr>
          <w:noProof/>
          <w:lang w:eastAsia="fr-FR"/>
        </w:rPr>
        <w:lastRenderedPageBreak/>
        <w:drawing>
          <wp:inline distT="0" distB="0" distL="0" distR="0" wp14:anchorId="3E45587E" wp14:editId="16C58D01">
            <wp:extent cx="9761220" cy="351837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0788" cy="352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961"/>
        <w:gridCol w:w="5754"/>
      </w:tblGrid>
      <w:tr w:rsidR="00964AE9" w14:paraId="3E8AF7CF" w14:textId="77777777" w:rsidTr="00D22965">
        <w:trPr>
          <w:trHeight w:val="538"/>
        </w:trPr>
        <w:tc>
          <w:tcPr>
            <w:tcW w:w="15388" w:type="dxa"/>
            <w:gridSpan w:val="3"/>
            <w:shd w:val="clear" w:color="auto" w:fill="F2F2F2" w:themeFill="background1" w:themeFillShade="F2"/>
            <w:vAlign w:val="center"/>
          </w:tcPr>
          <w:p w14:paraId="13A8449A" w14:textId="79069F67" w:rsidR="00964AE9" w:rsidRPr="00964AE9" w:rsidRDefault="00964AE9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highlight w:val="lightGray"/>
                <w:lang w:eastAsia="fr-FR"/>
              </w:rPr>
            </w:pPr>
            <w:r>
              <w:rPr>
                <w:rFonts w:ascii="Arial" w:hAnsi="Arial" w:cs="Arial"/>
                <w:shd w:val="clear" w:color="auto" w:fill="FFFFFF"/>
              </w:rPr>
              <w:br/>
            </w:r>
            <w:r w:rsidRPr="00964AE9">
              <w:rPr>
                <w:rFonts w:ascii="Arial" w:eastAsia="Times New Roman" w:hAnsi="Arial" w:cs="Arial"/>
                <w:b/>
                <w:bCs/>
                <w:sz w:val="23"/>
                <w:szCs w:val="23"/>
                <w:highlight w:val="lightGray"/>
                <w:lang w:eastAsia="fr-FR"/>
              </w:rPr>
              <w:t xml:space="preserve">Phase 5 : </w:t>
            </w:r>
            <w:r w:rsidRPr="00964AE9">
              <w:rPr>
                <w:rFonts w:ascii="Arial" w:hAnsi="Arial" w:cs="Arial"/>
                <w:b/>
                <w:bCs/>
                <w:sz w:val="23"/>
                <w:szCs w:val="23"/>
                <w:highlight w:val="lightGray"/>
                <w:shd w:val="clear" w:color="auto" w:fill="FFFFFF"/>
              </w:rPr>
              <w:t>constitution d’un réseau de comptines pour généraliser les savoirs</w:t>
            </w:r>
          </w:p>
          <w:p w14:paraId="65746D1E" w14:textId="2CBAD84F" w:rsidR="00964AE9" w:rsidRPr="00964AE9" w:rsidRDefault="00964AE9" w:rsidP="00D229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fr-FR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Proposer aux élèves des </w:t>
            </w:r>
            <w:r w:rsidRPr="00964AE9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activités ritualisées très régulières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à partir de nouvelles comptines :</w:t>
            </w:r>
            <w:r>
              <w:rPr>
                <w:rFonts w:ascii="Arial" w:hAnsi="Arial" w:cs="Arial"/>
                <w:shd w:val="clear" w:color="auto" w:fill="FFFFFF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sym w:font="Symbol" w:char="F0FC"/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Mimer, jouer et mémoriser ;</w:t>
            </w:r>
            <w:r>
              <w:rPr>
                <w:rFonts w:ascii="Arial" w:hAnsi="Arial" w:cs="Arial"/>
                <w:shd w:val="clear" w:color="auto" w:fill="FFFFFF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sym w:font="Symbol" w:char="F0FC"/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Modifier le texte en conservant le même contexte, mais en changeant les nombres en présence pour faire manipuler les décompositions</w:t>
            </w:r>
          </w:p>
        </w:tc>
      </w:tr>
      <w:tr w:rsidR="00964AE9" w14:paraId="5235CB79" w14:textId="77777777" w:rsidTr="00885C1E">
        <w:trPr>
          <w:trHeight w:val="2888"/>
        </w:trPr>
        <w:tc>
          <w:tcPr>
            <w:tcW w:w="15388" w:type="dxa"/>
            <w:gridSpan w:val="3"/>
            <w:shd w:val="clear" w:color="auto" w:fill="auto"/>
            <w:vAlign w:val="center"/>
          </w:tcPr>
          <w:p w14:paraId="7A2A58AF" w14:textId="77777777" w:rsidR="00964AE9" w:rsidRDefault="00964AE9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45993DEA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22E91C17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63E76F47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40A4D73A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0EE19D25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00565C74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0C25709C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135DD96F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126B2121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32E2A0DB" w14:textId="77777777" w:rsidR="00B82BC0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  <w:p w14:paraId="179F380B" w14:textId="77777777" w:rsidR="00B82BC0" w:rsidRPr="00964AE9" w:rsidRDefault="00B82BC0" w:rsidP="00D2296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fr-FR"/>
              </w:rPr>
            </w:pPr>
          </w:p>
        </w:tc>
      </w:tr>
      <w:tr w:rsidR="00964AE9" w14:paraId="1EC3CFFC" w14:textId="77777777" w:rsidTr="00964AE9">
        <w:trPr>
          <w:trHeight w:val="430"/>
        </w:trPr>
        <w:tc>
          <w:tcPr>
            <w:tcW w:w="15388" w:type="dxa"/>
            <w:gridSpan w:val="3"/>
            <w:shd w:val="clear" w:color="auto" w:fill="D9D9D9" w:themeFill="background1" w:themeFillShade="D9"/>
            <w:vAlign w:val="center"/>
          </w:tcPr>
          <w:p w14:paraId="693CC135" w14:textId="77777777" w:rsidR="00964AE9" w:rsidRDefault="00964AE9" w:rsidP="00D2296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3"/>
                <w:szCs w:val="23"/>
                <w:highlight w:val="lightGray"/>
                <w:shd w:val="clear" w:color="auto" w:fill="FFFFFF"/>
              </w:rPr>
            </w:pPr>
            <w:r w:rsidRPr="00964AE9">
              <w:rPr>
                <w:rFonts w:ascii="Arial" w:hAnsi="Arial" w:cs="Arial"/>
                <w:b/>
                <w:bCs/>
                <w:sz w:val="23"/>
                <w:szCs w:val="23"/>
                <w:highlight w:val="lightGray"/>
                <w:shd w:val="clear" w:color="auto" w:fill="FFFFFF"/>
              </w:rPr>
              <w:lastRenderedPageBreak/>
              <w:t>Phase 6 : invention de comptines</w:t>
            </w:r>
          </w:p>
          <w:p w14:paraId="79467357" w14:textId="32A80E44" w:rsidR="00885C1E" w:rsidRPr="00964AE9" w:rsidRDefault="00885C1E" w:rsidP="00885C1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z w:val="23"/>
                <w:szCs w:val="23"/>
                <w:highlight w:val="lightGray"/>
                <w:lang w:eastAsia="fr-FR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La séquence propose des situations guidées d’invention de comptines à différentes phases de l’apprentissage </w:t>
            </w:r>
          </w:p>
        </w:tc>
      </w:tr>
      <w:tr w:rsidR="00885C1E" w14:paraId="1584DA2F" w14:textId="77777777" w:rsidTr="00885C1E">
        <w:tc>
          <w:tcPr>
            <w:tcW w:w="4673" w:type="dxa"/>
            <w:shd w:val="clear" w:color="auto" w:fill="D9D9D9" w:themeFill="background1" w:themeFillShade="D9"/>
          </w:tcPr>
          <w:p w14:paraId="44D211D5" w14:textId="07A358E5" w:rsidR="00885C1E" w:rsidRDefault="00885C1E" w:rsidP="00885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Phase 1 de la séquence :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A02EB79" w14:textId="5B39D7DD" w:rsidR="00885C1E" w:rsidRDefault="00885C1E" w:rsidP="00885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Phase 3 de la séquence :</w:t>
            </w:r>
          </w:p>
        </w:tc>
        <w:tc>
          <w:tcPr>
            <w:tcW w:w="5754" w:type="dxa"/>
            <w:shd w:val="clear" w:color="auto" w:fill="D9D9D9" w:themeFill="background1" w:themeFillShade="D9"/>
          </w:tcPr>
          <w:p w14:paraId="37A379CF" w14:textId="0CFB4A4E" w:rsidR="00885C1E" w:rsidRDefault="00885C1E" w:rsidP="00885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Phase 5 de la séquence :</w:t>
            </w:r>
          </w:p>
        </w:tc>
      </w:tr>
      <w:tr w:rsidR="00885C1E" w:rsidRPr="00885C1E" w14:paraId="0C0B604B" w14:textId="77777777" w:rsidTr="00885C1E">
        <w:tc>
          <w:tcPr>
            <w:tcW w:w="4673" w:type="dxa"/>
          </w:tcPr>
          <w:p w14:paraId="4FBCAEF8" w14:textId="35C0F3FB" w:rsidR="00885C1E" w:rsidRPr="00885C1E" w:rsidRDefault="00885C1E" w:rsidP="00885C1E">
            <w:pPr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885C1E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>Les élèves se mettent d’accord sur le contenu.</w:t>
            </w:r>
            <w:r w:rsidRPr="00885C1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br/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En imposant une </w:t>
            </w:r>
            <w:r w:rsidRPr="00885C1E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contrainte</w:t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>, l’enseignant engage une première étape vers l’usage des décompositions.</w:t>
            </w:r>
          </w:p>
          <w:p w14:paraId="465CB016" w14:textId="77777777" w:rsidR="00885C1E" w:rsidRPr="00885C1E" w:rsidRDefault="00885C1E" w:rsidP="00885C1E">
            <w:pPr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0AA7BF15" w14:textId="14913E0F" w:rsidR="00885C1E" w:rsidRPr="00885C1E" w:rsidRDefault="00885C1E" w:rsidP="00885C1E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</w:pPr>
            <w:r w:rsidRPr="00885C1E">
              <w:rPr>
                <w:rStyle w:val="markedcontent"/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>Les élèves participent à l’adaptation de la comptine de départ pour faire apparaître une décomposition.</w:t>
            </w:r>
          </w:p>
        </w:tc>
        <w:tc>
          <w:tcPr>
            <w:tcW w:w="4961" w:type="dxa"/>
          </w:tcPr>
          <w:p w14:paraId="7F91EA8A" w14:textId="77777777" w:rsidR="00885C1E" w:rsidRDefault="00885C1E" w:rsidP="00885C1E">
            <w:pPr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885C1E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Dans le cadre du </w:t>
            </w:r>
            <w:r w:rsidRPr="00885C1E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défi</w:t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proposé par l’enseignant, les élèves trouvent de </w:t>
            </w:r>
            <w:r w:rsidRPr="00885C1E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nouvelles décompositions</w:t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et les </w:t>
            </w:r>
            <w:r w:rsidRPr="00885C1E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catégorisent</w:t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si plusieurs nombres sont travaillés parallèlement</w:t>
            </w:r>
            <w:r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(Affichage référent)</w:t>
            </w:r>
          </w:p>
          <w:p w14:paraId="605A3728" w14:textId="496B56F3" w:rsidR="00885C1E" w:rsidRPr="00885C1E" w:rsidRDefault="00885C1E" w:rsidP="00885C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885C1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br/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 l’issue du défi, </w:t>
            </w:r>
            <w:r w:rsidRPr="00885C1E">
              <w:rPr>
                <w:rStyle w:val="markedcontent"/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>les élèves formalisent les différentes décompositions trouvées en utilisant une matrice commune, la comptine de référence (+ répertoire de comptines)</w:t>
            </w:r>
          </w:p>
        </w:tc>
        <w:tc>
          <w:tcPr>
            <w:tcW w:w="5754" w:type="dxa"/>
          </w:tcPr>
          <w:p w14:paraId="0002F205" w14:textId="6BE44A98" w:rsidR="00885C1E" w:rsidRPr="00885C1E" w:rsidRDefault="00885C1E" w:rsidP="009440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885C1E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Dans le cadre </w:t>
            </w:r>
            <w:r w:rsidRPr="00885C1E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d’activités ritualisées</w:t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collectives ou en petits groupes, l’enseignant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propose de prolonger le défi de la phase 3 à partir de </w:t>
            </w:r>
            <w:r w:rsidRPr="00885C1E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nouvelles comptines</w:t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</w:rPr>
              <w:t>.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</w:rPr>
              <w:t>L’enseignant présente une comptine et demande aux enfants d’en trouver une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</w:rPr>
              <w:t>variante :</w:t>
            </w:r>
            <w:r w:rsidRPr="00885C1E">
              <w:rPr>
                <w:sz w:val="20"/>
                <w:szCs w:val="20"/>
              </w:rPr>
              <w:br/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</w:rPr>
              <w:t>- soit en conservant le nombre, mais en trouvant d’autres façons de le décomposer ;</w:t>
            </w:r>
            <w:r w:rsidRPr="00885C1E">
              <w:rPr>
                <w:sz w:val="20"/>
                <w:szCs w:val="20"/>
              </w:rPr>
              <w:br/>
            </w:r>
            <w:r w:rsidRPr="00885C1E">
              <w:rPr>
                <w:rStyle w:val="markedcontent"/>
                <w:rFonts w:ascii="Arial" w:hAnsi="Arial" w:cs="Arial"/>
                <w:sz w:val="16"/>
                <w:szCs w:val="16"/>
              </w:rPr>
              <w:t>- soit en partant d’un autre nombre connu.</w:t>
            </w:r>
          </w:p>
        </w:tc>
      </w:tr>
      <w:tr w:rsidR="00885C1E" w14:paraId="0135367B" w14:textId="77777777" w:rsidTr="00885C1E">
        <w:tc>
          <w:tcPr>
            <w:tcW w:w="4673" w:type="dxa"/>
          </w:tcPr>
          <w:p w14:paraId="00F093FC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82B1D4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17A0B9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A08A21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684516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BC4D8B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DDE8C4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FCC494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79CFDF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DA5AB3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4812C5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F4A093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5212F7" w14:textId="6804CB35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61" w:type="dxa"/>
          </w:tcPr>
          <w:p w14:paraId="79AE6638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754" w:type="dxa"/>
          </w:tcPr>
          <w:p w14:paraId="3294600A" w14:textId="77777777" w:rsidR="00885C1E" w:rsidRDefault="00885C1E" w:rsidP="00885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124E" w14:paraId="29BA07FD" w14:textId="77777777" w:rsidTr="0069124E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15639E3B" w14:textId="17D8B2E6" w:rsidR="0069124E" w:rsidRDefault="0069124E" w:rsidP="0069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Phase 6 de la séquence :</w:t>
            </w:r>
          </w:p>
        </w:tc>
      </w:tr>
      <w:tr w:rsidR="0069124E" w14:paraId="609D5917" w14:textId="77777777" w:rsidTr="006A708E">
        <w:tc>
          <w:tcPr>
            <w:tcW w:w="15388" w:type="dxa"/>
            <w:gridSpan w:val="3"/>
          </w:tcPr>
          <w:p w14:paraId="10998C52" w14:textId="77777777" w:rsidR="0069124E" w:rsidRDefault="0069124E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2F73448" w14:textId="04F33168" w:rsidR="0069124E" w:rsidRDefault="0069124E" w:rsidP="009440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Il s’agit d’engager les élèves dans une 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invention plus complète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de textes, tout en conservant l’objectif d’apprentissage des décompositions.</w:t>
            </w:r>
            <w:r>
              <w:rPr>
                <w:rFonts w:ascii="Arial" w:hAnsi="Arial" w:cs="Arial"/>
                <w:shd w:val="clear" w:color="auto" w:fill="FFFFFF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Dans ce cadre, les élèves auront, en plus, à considérer la 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rythmique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voire la 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musicalité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du texte, en jouant sur les 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sonorités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de la langue (</w:t>
            </w:r>
            <w:r w:rsidRPr="0069124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rimes, assonances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</w:tc>
      </w:tr>
      <w:tr w:rsidR="009440A3" w14:paraId="07DD6ADC" w14:textId="77777777" w:rsidTr="006A708E">
        <w:tc>
          <w:tcPr>
            <w:tcW w:w="15388" w:type="dxa"/>
            <w:gridSpan w:val="3"/>
          </w:tcPr>
          <w:p w14:paraId="00BB07E0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229CC7B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389655B0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7A621F75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15DBDD9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448E881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C0C58F5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0BD7C68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205A6D9C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82BCC9E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355A629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7D447CB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5D2E281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6484BB3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E8CEDE3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617CB29F" w14:textId="77777777" w:rsidR="009440A3" w:rsidRDefault="009440A3" w:rsidP="00885C1E">
            <w:pP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14:paraId="50438437" w14:textId="0EABCF3B" w:rsidR="004E33A1" w:rsidRDefault="004E33A1" w:rsidP="00964AE9">
      <w:bookmarkStart w:id="0" w:name="_GoBack"/>
      <w:bookmarkEnd w:id="0"/>
    </w:p>
    <w:sectPr w:rsidR="004E33A1" w:rsidSect="004E33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A1"/>
    <w:rsid w:val="004E33A1"/>
    <w:rsid w:val="0069124E"/>
    <w:rsid w:val="00885C1E"/>
    <w:rsid w:val="00896C47"/>
    <w:rsid w:val="009440A3"/>
    <w:rsid w:val="00964AE9"/>
    <w:rsid w:val="00B82BC0"/>
    <w:rsid w:val="00D2115D"/>
    <w:rsid w:val="00F4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2BC8"/>
  <w15:chartTrackingRefBased/>
  <w15:docId w15:val="{E440392E-5AC2-431A-A234-32EC5021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89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amelie</dc:creator>
  <cp:keywords/>
  <dc:description/>
  <cp:lastModifiedBy>Utilisateur</cp:lastModifiedBy>
  <cp:revision>2</cp:revision>
  <dcterms:created xsi:type="dcterms:W3CDTF">2022-11-25T09:40:00Z</dcterms:created>
  <dcterms:modified xsi:type="dcterms:W3CDTF">2023-01-10T22:35:00Z</dcterms:modified>
</cp:coreProperties>
</file>