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774164" w:rsidRPr="009302B9" w:rsidRDefault="00774164" w:rsidP="00774164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774164" w:rsidRPr="009302B9" w:rsidRDefault="00774164" w:rsidP="00774164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774164" w:rsidRDefault="00774164" w:rsidP="0077416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774164" w:rsidRPr="00690C29" w:rsidRDefault="00774164" w:rsidP="00774164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>accompagne cette fiche</w:t>
      </w:r>
      <w:r w:rsidRPr="00690C29">
        <w:rPr>
          <w:rFonts w:ascii="OpenDyslexic" w:hAnsi="OpenDyslexic"/>
          <w:b/>
          <w:sz w:val="22"/>
        </w:rPr>
        <w:t xml:space="preserve"> et écrivez deux phrases p</w:t>
      </w:r>
      <w:r>
        <w:rPr>
          <w:rFonts w:ascii="OpenDyslexic" w:hAnsi="OpenDyslexic"/>
          <w:b/>
          <w:sz w:val="22"/>
        </w:rPr>
        <w:t>our dire ce que deviennent les patineurs et la glace à l'arrière plan du tableau.</w:t>
      </w:r>
    </w:p>
    <w:p w:rsidR="00D62BFB" w:rsidRDefault="00D62BFB" w:rsidP="00774164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Les patineurs deviennent des étoiles. La glace devient le ciel.</w:t>
      </w:r>
    </w:p>
    <w:p w:rsidR="00774164" w:rsidRDefault="00774164" w:rsidP="0077416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62BFB" w:rsidRPr="00690C29" w:rsidRDefault="00D62BFB" w:rsidP="00D62BF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Fais corriger par ta professeure. Tu viens d'écrire une métaphore !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Fais corriger par ta professeure. Tu viens d'écrire une comparaison !</w:t>
      </w:r>
    </w:p>
    <w:p w:rsidR="00D62BFB" w:rsidRDefault="00D62BFB" w:rsidP="00774164">
      <w:pPr>
        <w:spacing w:line="360" w:lineRule="auto"/>
        <w:jc w:val="both"/>
        <w:rPr>
          <w:rFonts w:ascii="OpenDyslexic" w:hAnsi="OpenDyslexic"/>
          <w:sz w:val="22"/>
        </w:rPr>
      </w:pPr>
    </w:p>
    <w:p w:rsidR="00774164" w:rsidRPr="001A46D8" w:rsidRDefault="00774164" w:rsidP="0077416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D62BFB" w:rsidRDefault="00774164" w:rsidP="0077416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La phrase n°1 compare </w:t>
      </w:r>
      <w:r w:rsidR="00D62BFB">
        <w:rPr>
          <w:rFonts w:ascii="OpenDyslexic" w:hAnsi="OpenDyslexic"/>
          <w:sz w:val="22"/>
        </w:rPr>
        <w:t>le ciel et la glace</w:t>
      </w:r>
    </w:p>
    <w:p w:rsidR="00774164" w:rsidRDefault="00774164" w:rsidP="00774164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La phrase n°2 compare</w:t>
      </w:r>
      <w:r>
        <w:rPr>
          <w:rFonts w:ascii="OpenDyslexic" w:hAnsi="OpenDyslexic"/>
          <w:sz w:val="22"/>
        </w:rPr>
        <w:t xml:space="preserve"> </w:t>
      </w:r>
      <w:r w:rsidR="00D62BFB">
        <w:rPr>
          <w:rFonts w:ascii="OpenDyslexic" w:hAnsi="OpenDyslexic"/>
          <w:sz w:val="22"/>
        </w:rPr>
        <w:t>les lanternes et les étoiles</w:t>
      </w:r>
    </w:p>
    <w:p w:rsidR="00774164" w:rsidRDefault="00774164" w:rsidP="00774164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D62BFB" w:rsidRPr="00690C29" w:rsidRDefault="00D62BFB" w:rsidP="00D62BF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D62BFB" w:rsidRPr="001A46D8">
        <w:tc>
          <w:tcPr>
            <w:tcW w:w="5453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D62BFB" w:rsidRPr="001A46D8">
        <w:tc>
          <w:tcPr>
            <w:tcW w:w="5453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Aux glaïeuls</w:t>
            </w:r>
          </w:p>
        </w:tc>
        <w:tc>
          <w:tcPr>
            <w:tcW w:w="5454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D62BFB" w:rsidRPr="001A46D8">
        <w:tc>
          <w:tcPr>
            <w:tcW w:w="5453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 un melon moyen</w:t>
            </w:r>
          </w:p>
        </w:tc>
        <w:tc>
          <w:tcPr>
            <w:tcW w:w="5454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D62BFB" w:rsidRPr="001A46D8">
        <w:tc>
          <w:tcPr>
            <w:tcW w:w="5453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>
              <w:rPr>
                <w:rFonts w:ascii="OpenDyslexic" w:hAnsi="OpenDyslexic"/>
                <w:sz w:val="22"/>
              </w:rPr>
              <w:t>Aux artichauts</w:t>
            </w:r>
          </w:p>
        </w:tc>
        <w:tc>
          <w:tcPr>
            <w:tcW w:w="5454" w:type="dxa"/>
          </w:tcPr>
          <w:p w:rsidR="00D62BFB" w:rsidRPr="001A46D8" w:rsidRDefault="00D62BFB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"Est de forme semblable" l.1/2 ; "ressemble à" l.4 ; "comme" l.2 et l.5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Ces mots servent à comparer un élément avec un autre.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 xml:space="preserve">Au XVIe siècle, les lecteurs de Jean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 n'étaient jamais allés en Amérique. Quel est donc l'intérêt d'une telle description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b/>
          <w:sz w:val="22"/>
        </w:rPr>
      </w:pPr>
      <w:r>
        <w:rPr>
          <w:rFonts w:ascii="OpenDyslexic" w:hAnsi="OpenDyslexic"/>
          <w:sz w:val="22"/>
        </w:rPr>
        <w:t xml:space="preserve">Cette description permet aux lecteurs et aux lectrices de se faire une image plus précise de ce qu'est un ananas. En effet, en faisant des analogies avec des choses connues, </w:t>
      </w:r>
      <w:proofErr w:type="spellStart"/>
      <w:r>
        <w:rPr>
          <w:rFonts w:ascii="OpenDyslexic" w:hAnsi="OpenDyslexic"/>
          <w:sz w:val="22"/>
        </w:rPr>
        <w:t>Léry</w:t>
      </w:r>
      <w:proofErr w:type="spellEnd"/>
      <w:r>
        <w:rPr>
          <w:rFonts w:ascii="OpenDyslexic" w:hAnsi="OpenDyslexic"/>
          <w:sz w:val="22"/>
        </w:rPr>
        <w:t xml:space="preserve"> facilite la compréhension des lecteurs et des lectrices.</w:t>
      </w:r>
    </w:p>
    <w:p w:rsidR="00D62BFB" w:rsidRPr="00690C29" w:rsidRDefault="00D62BFB" w:rsidP="00D62BFB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Dans cette phrase, le bruit des hommes est comparé au bruit de la marée montante.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Le point commun entre la clameur des hommes et la marée est que le bruit est progressif (il "monte").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Cela donne l'impression d'une clameur qui commence doucement, puis qui devient de plus en plus forte aux oreilles du personnage. Et qui envahi ainsi l'espace, comme l'eau de la mer.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D62BFB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Non, il n'y a pas de mot appartenant au champ lexical de la ressemblance. Ce n'est pas toujours une manière de comparer deux choses.</w:t>
      </w:r>
    </w:p>
    <w:p w:rsidR="00D62BFB" w:rsidRPr="001A46D8" w:rsidRDefault="00D62BFB" w:rsidP="00D62BFB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D62BFB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D62BFB" w:rsidRPr="00CA24D5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  <w:u w:val="single"/>
              </w:rPr>
            </w:pPr>
            <w:r w:rsidRPr="00CA24D5">
              <w:rPr>
                <w:rFonts w:ascii="OpenDyslexic" w:hAnsi="OpenDyslexic"/>
                <w:sz w:val="22"/>
                <w:u w:val="single"/>
              </w:rPr>
              <w:t>Une comparaison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D62BFB" w:rsidRPr="001A46D8" w:rsidRDefault="00D62BFB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D62BFB" w:rsidRPr="00CA24D5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  <w:u w:val="single"/>
              </w:rPr>
            </w:pPr>
            <w:r w:rsidRPr="00CA24D5">
              <w:rPr>
                <w:rFonts w:ascii="OpenDyslexic" w:hAnsi="OpenDyslexic"/>
                <w:sz w:val="22"/>
                <w:u w:val="single"/>
              </w:rPr>
              <w:t>Une métaphore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D62BFB" w:rsidRPr="001A46D8" w:rsidRDefault="00D62BFB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D62BFB" w:rsidRPr="001A46D8" w:rsidRDefault="00D62BFB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B97B67" w:rsidRDefault="00D62BFB" w:rsidP="00D62BFB">
      <w:pPr>
        <w:spacing w:line="360" w:lineRule="auto"/>
        <w:jc w:val="both"/>
      </w:pPr>
    </w:p>
    <w:sectPr w:rsidR="00B97B67" w:rsidSect="008128E3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74164"/>
    <w:rsid w:val="00774164"/>
    <w:rsid w:val="00D62BFB"/>
    <w:rsid w:val="00DD13F2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6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774164"/>
    <w:pPr>
      <w:ind w:left="720"/>
      <w:contextualSpacing/>
    </w:pPr>
  </w:style>
  <w:style w:type="table" w:styleId="Grille">
    <w:name w:val="Table Grid"/>
    <w:basedOn w:val="TableauNormal"/>
    <w:uiPriority w:val="59"/>
    <w:rsid w:val="007741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Macintosh Word</Application>
  <DocSecurity>0</DocSecurity>
  <Lines>17</Lines>
  <Paragraphs>4</Paragraphs>
  <ScaleCrop>false</ScaleCrop>
  <Company>Apple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2017-09-18T20:14:00Z</dcterms:created>
  <dcterms:modified xsi:type="dcterms:W3CDTF">2017-09-24T15:22:00Z</dcterms:modified>
</cp:coreProperties>
</file>