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4D" w:rsidRPr="005A554D" w:rsidRDefault="005A554D" w:rsidP="005A554D">
      <w:pPr>
        <w:pStyle w:val="a3"/>
        <w:ind w:right="134" w:firstLine="707"/>
        <w:jc w:val="center"/>
        <w:rPr>
          <w:color w:val="C00000"/>
        </w:rPr>
      </w:pPr>
      <w:r w:rsidRPr="005A554D">
        <w:rPr>
          <w:b/>
          <w:color w:val="C00000"/>
        </w:rPr>
        <w:t>SWOT анализ</w:t>
      </w:r>
      <w:r w:rsidRPr="005A554D">
        <w:rPr>
          <w:color w:val="C00000"/>
        </w:rPr>
        <w:t>.</w:t>
      </w:r>
    </w:p>
    <w:p w:rsidR="005A554D" w:rsidRDefault="005A554D" w:rsidP="005A554D">
      <w:pPr>
        <w:pStyle w:val="a3"/>
        <w:ind w:right="134" w:firstLine="707"/>
        <w:jc w:val="both"/>
      </w:pPr>
    </w:p>
    <w:p w:rsidR="005A554D" w:rsidRDefault="005A554D" w:rsidP="005A554D">
      <w:pPr>
        <w:pStyle w:val="a3"/>
        <w:ind w:right="134" w:firstLine="707"/>
        <w:jc w:val="both"/>
      </w:pPr>
      <w:r>
        <w:t xml:space="preserve">Этот аналитический инструмент отличается своей простотой применения. Для начала расшифруем аббревиатуру SWOT. Состоит она из четырех слов: </w:t>
      </w:r>
      <w:r>
        <w:rPr>
          <w:b/>
        </w:rPr>
        <w:t xml:space="preserve">Strengths, Weaknesses, Opportunities, Threats, </w:t>
      </w:r>
      <w:r>
        <w:t>что в переводе значить: Сильные стороны, Слабые стороны, Возможности и Угрозы. Термин изначально взят из сферы экономики, но при этом все перечисленные слова отлично подходят к определению характеристик человека.</w:t>
      </w:r>
    </w:p>
    <w:p w:rsidR="005A554D" w:rsidRDefault="005A554D" w:rsidP="005A554D">
      <w:pPr>
        <w:pStyle w:val="2"/>
        <w:spacing w:before="1" w:line="321" w:lineRule="exact"/>
        <w:jc w:val="both"/>
      </w:pPr>
      <w:r>
        <w:t>Сильные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(Strengths):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ind w:right="147" w:firstLine="707"/>
        <w:jc w:val="both"/>
        <w:rPr>
          <w:sz w:val="28"/>
        </w:rPr>
      </w:pPr>
      <w:r>
        <w:rPr>
          <w:sz w:val="28"/>
        </w:rPr>
        <w:t>Определите, какие сильные стороны у молодых педагогов, такие как профессиональные навыки, личные качества, опыт и образование.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ind w:right="146" w:firstLine="707"/>
        <w:jc w:val="both"/>
        <w:rPr>
          <w:sz w:val="28"/>
        </w:rPr>
      </w:pPr>
      <w:r>
        <w:rPr>
          <w:sz w:val="28"/>
        </w:rPr>
        <w:t>Оцените, какие из этих сильных сторон могут быть полезными в их работе с учениками и как они могут использовать их на благо обучения.</w:t>
      </w:r>
    </w:p>
    <w:p w:rsidR="005A554D" w:rsidRDefault="005A554D" w:rsidP="005A554D">
      <w:pPr>
        <w:pStyle w:val="2"/>
        <w:spacing w:line="320" w:lineRule="exact"/>
        <w:jc w:val="both"/>
      </w:pPr>
      <w:r>
        <w:t>Слабые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(Weaknesses):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ind w:right="143" w:firstLine="707"/>
        <w:jc w:val="both"/>
        <w:rPr>
          <w:sz w:val="28"/>
        </w:rPr>
      </w:pPr>
      <w:r>
        <w:rPr>
          <w:sz w:val="28"/>
        </w:rPr>
        <w:t>Определите слабые стороны молодых педагогов, такие как недостаток опыта, навыков или недостаточное образование.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ind w:right="141" w:firstLine="707"/>
        <w:jc w:val="both"/>
        <w:rPr>
          <w:sz w:val="28"/>
        </w:rPr>
      </w:pPr>
      <w:r>
        <w:rPr>
          <w:sz w:val="28"/>
        </w:rPr>
        <w:t>Рассмотрите, какие учебные программы или дополнительные обучающие мероприятия могут помочь устранить слабые стороны и усилить их квалификации.</w:t>
      </w:r>
    </w:p>
    <w:p w:rsidR="005A554D" w:rsidRDefault="005A554D" w:rsidP="005A554D">
      <w:pPr>
        <w:pStyle w:val="2"/>
        <w:spacing w:line="321" w:lineRule="exact"/>
        <w:jc w:val="both"/>
      </w:pPr>
      <w:r>
        <w:rPr>
          <w:spacing w:val="-2"/>
        </w:rPr>
        <w:t>Возможности</w:t>
      </w:r>
      <w:r>
        <w:rPr>
          <w:spacing w:val="2"/>
        </w:rPr>
        <w:t xml:space="preserve"> </w:t>
      </w:r>
      <w:r>
        <w:rPr>
          <w:spacing w:val="-2"/>
        </w:rPr>
        <w:t>(Opportunities):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ind w:right="143" w:firstLine="707"/>
        <w:jc w:val="both"/>
        <w:rPr>
          <w:sz w:val="28"/>
        </w:rPr>
      </w:pPr>
      <w:r>
        <w:rPr>
          <w:sz w:val="28"/>
        </w:rPr>
        <w:t>Исследуйте возможности для профессионального роста и развития молодых педагогов, такие как участие в тренингах, семинарах, программы повышения квалификации и т.д.</w:t>
      </w:r>
    </w:p>
    <w:p w:rsidR="005A554D" w:rsidRDefault="005A554D" w:rsidP="005A554D">
      <w:pPr>
        <w:pStyle w:val="a5"/>
        <w:jc w:val="both"/>
        <w:rPr>
          <w:sz w:val="28"/>
        </w:rPr>
        <w:sectPr w:rsidR="005A554D">
          <w:pgSz w:w="11920" w:h="16850"/>
          <w:pgMar w:top="1060" w:right="708" w:bottom="1480" w:left="1559" w:header="0" w:footer="1248" w:gutter="0"/>
          <w:cols w:space="720"/>
        </w:sectPr>
      </w:pP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spacing w:before="73"/>
        <w:ind w:right="141" w:firstLine="707"/>
        <w:jc w:val="both"/>
        <w:rPr>
          <w:sz w:val="28"/>
        </w:rPr>
      </w:pPr>
      <w:r>
        <w:rPr>
          <w:sz w:val="28"/>
        </w:rPr>
        <w:lastRenderedPageBreak/>
        <w:t xml:space="preserve">Рассмотрите возможности для создания новых учебных методик, внедрения инноваций в образовательный процесс и сотрудничества с </w:t>
      </w:r>
      <w:r>
        <w:rPr>
          <w:spacing w:val="-2"/>
          <w:sz w:val="28"/>
        </w:rPr>
        <w:t>коллегами.</w:t>
      </w:r>
    </w:p>
    <w:p w:rsidR="005A554D" w:rsidRDefault="005A554D" w:rsidP="005A554D">
      <w:pPr>
        <w:pStyle w:val="2"/>
        <w:spacing w:line="320" w:lineRule="exact"/>
        <w:jc w:val="both"/>
      </w:pPr>
      <w:r>
        <w:rPr>
          <w:spacing w:val="-2"/>
        </w:rPr>
        <w:t>Угрозы</w:t>
      </w:r>
      <w:r>
        <w:rPr>
          <w:spacing w:val="-12"/>
        </w:rPr>
        <w:t xml:space="preserve"> </w:t>
      </w:r>
      <w:r>
        <w:rPr>
          <w:spacing w:val="-2"/>
        </w:rPr>
        <w:t>(Threats):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spacing w:before="2"/>
        <w:ind w:right="134" w:firstLine="707"/>
        <w:jc w:val="both"/>
        <w:rPr>
          <w:sz w:val="28"/>
        </w:rPr>
      </w:pPr>
      <w:r>
        <w:rPr>
          <w:sz w:val="28"/>
        </w:rPr>
        <w:t>Идентифицируйте угрозы, которые могут повлиять на профессиональное развитие молодых педагогов, такие как 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учебных программах, социокультурные изменения и другие факторы.</w:t>
      </w:r>
    </w:p>
    <w:p w:rsidR="005A554D" w:rsidRDefault="005A554D" w:rsidP="005A554D">
      <w:pPr>
        <w:pStyle w:val="a5"/>
        <w:numPr>
          <w:ilvl w:val="0"/>
          <w:numId w:val="1"/>
        </w:numPr>
        <w:tabs>
          <w:tab w:val="left" w:pos="1135"/>
        </w:tabs>
        <w:ind w:right="144" w:firstLine="707"/>
        <w:jc w:val="both"/>
        <w:rPr>
          <w:sz w:val="28"/>
        </w:rPr>
      </w:pPr>
      <w:r>
        <w:rPr>
          <w:sz w:val="28"/>
        </w:rPr>
        <w:t>Рассмотрите, какие шаги могут быть предприняты для смягчения угроз и адаптации к изменениям.</w:t>
      </w:r>
    </w:p>
    <w:p w:rsidR="005A554D" w:rsidRDefault="005A554D" w:rsidP="005A554D">
      <w:pPr>
        <w:pStyle w:val="a3"/>
        <w:ind w:right="136" w:firstLine="1276"/>
        <w:jc w:val="both"/>
      </w:pPr>
      <w:r>
        <w:t>Для заполнения SWOT анализа рекомендуется задавать открытые вопросы, и наиболее развернуто давать ответы (рисунок 7). Также важно понимать, что это только рекомендуемые вопросы, тут нет стандартов.</w:t>
      </w:r>
    </w:p>
    <w:p w:rsidR="005A554D" w:rsidRDefault="005A554D" w:rsidP="005A554D">
      <w:pPr>
        <w:pStyle w:val="2"/>
        <w:spacing w:before="321"/>
        <w:ind w:left="3582"/>
      </w:pPr>
      <w:r>
        <w:rPr>
          <w:color w:val="4471C4"/>
        </w:rPr>
        <w:t>Рисунок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7.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SWOT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2"/>
        </w:rPr>
        <w:t>анализ</w:t>
      </w:r>
    </w:p>
    <w:p w:rsidR="005A554D" w:rsidRDefault="005A554D" w:rsidP="005A554D">
      <w:pPr>
        <w:pStyle w:val="a3"/>
        <w:spacing w:before="177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659264" behindDoc="1" locked="0" layoutInCell="1" allowOverlap="1" wp14:anchorId="27700797" wp14:editId="0FDFF49D">
            <wp:simplePos x="0" y="0"/>
            <wp:positionH relativeFrom="page">
              <wp:posOffset>1200785</wp:posOffset>
            </wp:positionH>
            <wp:positionV relativeFrom="paragraph">
              <wp:posOffset>274078</wp:posOffset>
            </wp:positionV>
            <wp:extent cx="5737766" cy="3621024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766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54D" w:rsidRDefault="005A554D" w:rsidP="005A554D">
      <w:pPr>
        <w:pStyle w:val="a3"/>
        <w:spacing w:before="3"/>
        <w:ind w:left="0"/>
        <w:rPr>
          <w:b/>
        </w:rPr>
      </w:pPr>
    </w:p>
    <w:p w:rsidR="005A554D" w:rsidRDefault="005A554D" w:rsidP="005A554D">
      <w:pPr>
        <w:pStyle w:val="a3"/>
        <w:ind w:right="142" w:firstLine="707"/>
        <w:jc w:val="both"/>
      </w:pPr>
      <w:r>
        <w:t>После того, как вы получили ответы, нужно прописать выводы под каждый квадрант матрицы. На основе этих данных разрабатывается план наставничества. При создании плана действий необходимо рассмотреть и учесть все вероятные комбинации прописанных в матрице разделов.</w:t>
      </w:r>
    </w:p>
    <w:p w:rsidR="005A554D" w:rsidRDefault="005A554D" w:rsidP="005A554D">
      <w:pPr>
        <w:pStyle w:val="a3"/>
        <w:jc w:val="both"/>
        <w:sectPr w:rsidR="005A554D">
          <w:pgSz w:w="11920" w:h="16850"/>
          <w:pgMar w:top="1060" w:right="708" w:bottom="1480" w:left="1559" w:header="0" w:footer="1248" w:gutter="0"/>
          <w:cols w:space="720"/>
        </w:sectPr>
      </w:pPr>
    </w:p>
    <w:p w:rsidR="00B70D4D" w:rsidRDefault="00B70D4D" w:rsidP="00B70D4D">
      <w:pPr>
        <w:spacing w:before="3"/>
        <w:ind w:left="711"/>
        <w:jc w:val="center"/>
        <w:rPr>
          <w:b/>
          <w:sz w:val="28"/>
        </w:rPr>
      </w:pPr>
      <w:r>
        <w:rPr>
          <w:b/>
          <w:sz w:val="28"/>
        </w:rPr>
        <w:lastRenderedPageBreak/>
        <w:t>SWOT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анализ</w:t>
      </w:r>
    </w:p>
    <w:p w:rsidR="00B70D4D" w:rsidRDefault="00B70D4D" w:rsidP="00B70D4D">
      <w:pPr>
        <w:pStyle w:val="a3"/>
        <w:spacing w:before="44"/>
        <w:ind w:left="0"/>
        <w:rPr>
          <w:b/>
        </w:rPr>
      </w:pPr>
    </w:p>
    <w:p w:rsidR="00B70D4D" w:rsidRDefault="00B70D4D" w:rsidP="00B70D4D">
      <w:pPr>
        <w:pStyle w:val="a3"/>
        <w:spacing w:before="1"/>
        <w:ind w:right="140" w:firstLine="707"/>
        <w:jc w:val="both"/>
      </w:pPr>
      <w:r>
        <w:t>В конце года обобщается план работы с молодым специалистом, результаты обсуждаются на заседании методического совета и предлагаются к анализу в виде таблицы SWOT /приложение-1/. По достигнутым достижениям можно организовать рейтинг молодых специалистов. В результате</w:t>
      </w:r>
      <w:r>
        <w:rPr>
          <w:spacing w:val="-16"/>
        </w:rPr>
        <w:t xml:space="preserve"> </w:t>
      </w:r>
      <w:r>
        <w:t>создается</w:t>
      </w:r>
      <w:r>
        <w:rPr>
          <w:spacing w:val="-14"/>
        </w:rPr>
        <w:t xml:space="preserve"> </w:t>
      </w:r>
      <w:r>
        <w:t>стимул</w:t>
      </w:r>
      <w:r>
        <w:rPr>
          <w:spacing w:val="-14"/>
        </w:rPr>
        <w:t xml:space="preserve"> </w:t>
      </w:r>
      <w:r>
        <w:t>ставить</w:t>
      </w:r>
      <w:r>
        <w:rPr>
          <w:spacing w:val="-14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педагогом</w:t>
      </w:r>
      <w:r>
        <w:rPr>
          <w:spacing w:val="-15"/>
        </w:rPr>
        <w:t xml:space="preserve"> </w:t>
      </w:r>
      <w:r>
        <w:t>цели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следующий</w:t>
      </w:r>
      <w:r>
        <w:rPr>
          <w:spacing w:val="-13"/>
        </w:rPr>
        <w:t xml:space="preserve"> </w:t>
      </w:r>
      <w:r>
        <w:rPr>
          <w:spacing w:val="-4"/>
        </w:rPr>
        <w:t>год.</w:t>
      </w:r>
    </w:p>
    <w:p w:rsidR="00B70D4D" w:rsidRDefault="00B70D4D" w:rsidP="00B70D4D">
      <w:pPr>
        <w:pStyle w:val="a3"/>
        <w:ind w:left="0"/>
        <w:rPr>
          <w:sz w:val="20"/>
        </w:rPr>
      </w:pPr>
    </w:p>
    <w:p w:rsidR="00B70D4D" w:rsidRDefault="00B70D4D" w:rsidP="00B70D4D">
      <w:pPr>
        <w:pStyle w:val="a3"/>
        <w:spacing w:before="137" w:after="1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B70D4D" w:rsidTr="00A56271">
        <w:trPr>
          <w:trHeight w:val="3989"/>
        </w:trPr>
        <w:tc>
          <w:tcPr>
            <w:tcW w:w="4674" w:type="dxa"/>
          </w:tcPr>
          <w:p w:rsidR="00B70D4D" w:rsidRDefault="00B70D4D" w:rsidP="00A56271">
            <w:pPr>
              <w:pStyle w:val="TableParagraph"/>
              <w:ind w:left="815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S</w:t>
            </w:r>
            <w:r>
              <w:rPr>
                <w:b/>
                <w:color w:val="181818"/>
                <w:spacing w:val="-3"/>
                <w:sz w:val="28"/>
              </w:rPr>
              <w:t xml:space="preserve"> </w:t>
            </w:r>
            <w:r>
              <w:rPr>
                <w:b/>
                <w:color w:val="181818"/>
                <w:sz w:val="28"/>
              </w:rPr>
              <w:t>(</w:t>
            </w:r>
            <w:r>
              <w:rPr>
                <w:i/>
                <w:sz w:val="28"/>
              </w:rPr>
              <w:t>сильные</w:t>
            </w:r>
            <w:r>
              <w:rPr>
                <w:i/>
                <w:spacing w:val="-2"/>
                <w:sz w:val="28"/>
              </w:rPr>
              <w:t xml:space="preserve"> стороны</w:t>
            </w:r>
            <w:r>
              <w:rPr>
                <w:b/>
                <w:color w:val="181818"/>
                <w:spacing w:val="-2"/>
                <w:sz w:val="28"/>
              </w:rPr>
              <w:t>)</w:t>
            </w:r>
          </w:p>
        </w:tc>
        <w:tc>
          <w:tcPr>
            <w:tcW w:w="4674" w:type="dxa"/>
          </w:tcPr>
          <w:p w:rsidR="00B70D4D" w:rsidRDefault="00B70D4D" w:rsidP="00A56271">
            <w:pPr>
              <w:pStyle w:val="TableParagraph"/>
              <w:ind w:left="813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W</w:t>
            </w:r>
            <w:r>
              <w:rPr>
                <w:b/>
                <w:color w:val="181818"/>
                <w:spacing w:val="-7"/>
                <w:sz w:val="28"/>
              </w:rPr>
              <w:t xml:space="preserve"> </w:t>
            </w:r>
            <w:r>
              <w:rPr>
                <w:b/>
                <w:color w:val="181818"/>
                <w:sz w:val="28"/>
              </w:rPr>
              <w:t>(</w:t>
            </w:r>
            <w:r>
              <w:rPr>
                <w:i/>
                <w:sz w:val="28"/>
              </w:rPr>
              <w:t>слабые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сто</w:t>
            </w:r>
            <w:bookmarkStart w:id="0" w:name="_GoBack"/>
            <w:bookmarkEnd w:id="0"/>
            <w:r>
              <w:rPr>
                <w:i/>
                <w:spacing w:val="-2"/>
                <w:sz w:val="28"/>
              </w:rPr>
              <w:t>роны</w:t>
            </w:r>
            <w:r>
              <w:rPr>
                <w:b/>
                <w:color w:val="181818"/>
                <w:spacing w:val="-2"/>
                <w:sz w:val="28"/>
              </w:rPr>
              <w:t>)</w:t>
            </w:r>
          </w:p>
        </w:tc>
      </w:tr>
      <w:tr w:rsidR="00B70D4D" w:rsidTr="00A56271">
        <w:trPr>
          <w:trHeight w:val="5059"/>
        </w:trPr>
        <w:tc>
          <w:tcPr>
            <w:tcW w:w="4674" w:type="dxa"/>
          </w:tcPr>
          <w:p w:rsidR="00B70D4D" w:rsidRDefault="00B70D4D" w:rsidP="00A56271">
            <w:pPr>
              <w:pStyle w:val="TableParagraph"/>
              <w:ind w:left="815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 xml:space="preserve">O </w:t>
            </w:r>
            <w:r>
              <w:rPr>
                <w:b/>
                <w:color w:val="181818"/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возможности</w:t>
            </w:r>
            <w:r>
              <w:rPr>
                <w:b/>
                <w:color w:val="181818"/>
                <w:spacing w:val="-2"/>
                <w:sz w:val="28"/>
              </w:rPr>
              <w:t>)</w:t>
            </w:r>
          </w:p>
        </w:tc>
        <w:tc>
          <w:tcPr>
            <w:tcW w:w="4674" w:type="dxa"/>
          </w:tcPr>
          <w:p w:rsidR="00B70D4D" w:rsidRDefault="00B70D4D" w:rsidP="00A56271">
            <w:pPr>
              <w:pStyle w:val="TableParagraph"/>
              <w:ind w:left="813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T</w:t>
            </w:r>
            <w:r>
              <w:rPr>
                <w:b/>
                <w:color w:val="181818"/>
                <w:spacing w:val="-5"/>
                <w:sz w:val="28"/>
              </w:rPr>
              <w:t xml:space="preserve"> </w:t>
            </w:r>
            <w:r>
              <w:rPr>
                <w:b/>
                <w:color w:val="181818"/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угрозы</w:t>
            </w:r>
            <w:r>
              <w:rPr>
                <w:b/>
                <w:color w:val="181818"/>
                <w:spacing w:val="-2"/>
                <w:sz w:val="28"/>
              </w:rPr>
              <w:t>)</w:t>
            </w:r>
          </w:p>
        </w:tc>
      </w:tr>
    </w:tbl>
    <w:p w:rsidR="00B70D4D" w:rsidRDefault="00B70D4D" w:rsidP="00B70D4D">
      <w:pPr>
        <w:pStyle w:val="a3"/>
        <w:ind w:left="0"/>
      </w:pPr>
    </w:p>
    <w:p w:rsidR="00B70D4D" w:rsidRDefault="00B70D4D" w:rsidP="00B70D4D">
      <w:pPr>
        <w:pStyle w:val="a3"/>
        <w:ind w:firstLine="707"/>
      </w:pPr>
      <w:r>
        <w:rPr>
          <w:b/>
        </w:rPr>
        <w:t>SWOT</w:t>
      </w:r>
      <w:r>
        <w:rPr>
          <w:b/>
          <w:spacing w:val="40"/>
        </w:rPr>
        <w:t xml:space="preserve"> </w:t>
      </w:r>
      <w:r>
        <w:rPr>
          <w:b/>
        </w:rPr>
        <w:t>анализ</w:t>
      </w:r>
      <w:r>
        <w:rPr>
          <w:b/>
          <w:spacing w:val="40"/>
        </w:rPr>
        <w:t xml:space="preserve"> </w:t>
      </w:r>
      <w:r>
        <w:t>представляется</w:t>
      </w:r>
      <w:r>
        <w:rPr>
          <w:spacing w:val="40"/>
        </w:rPr>
        <w:t xml:space="preserve"> </w:t>
      </w:r>
      <w:r>
        <w:t>эффективным</w:t>
      </w:r>
      <w:r>
        <w:rPr>
          <w:spacing w:val="40"/>
        </w:rPr>
        <w:t xml:space="preserve"> </w:t>
      </w:r>
      <w:r>
        <w:t>инструментом</w:t>
      </w:r>
      <w:r>
        <w:rPr>
          <w:spacing w:val="40"/>
        </w:rPr>
        <w:t xml:space="preserve"> </w:t>
      </w:r>
      <w:r>
        <w:t>анализа результатов планируемой работы с молодым специалистом в течение года.</w:t>
      </w:r>
    </w:p>
    <w:p w:rsidR="00720292" w:rsidRPr="005A554D" w:rsidRDefault="00B70D4D">
      <w:pPr>
        <w:rPr>
          <w:lang w:val="kk-KZ"/>
        </w:rPr>
      </w:pPr>
    </w:p>
    <w:sectPr w:rsidR="00720292" w:rsidRPr="005A554D">
      <w:pgSz w:w="11910" w:h="16840"/>
      <w:pgMar w:top="1040" w:right="708" w:bottom="1240" w:left="1559" w:header="0" w:footer="9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17267"/>
    <w:multiLevelType w:val="hybridMultilevel"/>
    <w:tmpl w:val="409864FE"/>
    <w:lvl w:ilvl="0" w:tplc="C4D0E68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A60786E">
      <w:numFmt w:val="bullet"/>
      <w:lvlText w:val="•"/>
      <w:lvlJc w:val="left"/>
      <w:pPr>
        <w:ind w:left="1090" w:hanging="286"/>
      </w:pPr>
      <w:rPr>
        <w:rFonts w:hint="default"/>
        <w:lang w:val="kk-KZ" w:eastAsia="en-US" w:bidi="ar-SA"/>
      </w:rPr>
    </w:lvl>
    <w:lvl w:ilvl="2" w:tplc="8F2E82D0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F9A83774">
      <w:numFmt w:val="bullet"/>
      <w:lvlText w:val="•"/>
      <w:lvlJc w:val="left"/>
      <w:pPr>
        <w:ind w:left="2991" w:hanging="286"/>
      </w:pPr>
      <w:rPr>
        <w:rFonts w:hint="default"/>
        <w:lang w:val="kk-KZ" w:eastAsia="en-US" w:bidi="ar-SA"/>
      </w:rPr>
    </w:lvl>
    <w:lvl w:ilvl="4" w:tplc="D7D0D8DA">
      <w:numFmt w:val="bullet"/>
      <w:lvlText w:val="•"/>
      <w:lvlJc w:val="left"/>
      <w:pPr>
        <w:ind w:left="3941" w:hanging="286"/>
      </w:pPr>
      <w:rPr>
        <w:rFonts w:hint="default"/>
        <w:lang w:val="kk-KZ" w:eastAsia="en-US" w:bidi="ar-SA"/>
      </w:rPr>
    </w:lvl>
    <w:lvl w:ilvl="5" w:tplc="A454C4CA">
      <w:numFmt w:val="bullet"/>
      <w:lvlText w:val="•"/>
      <w:lvlJc w:val="left"/>
      <w:pPr>
        <w:ind w:left="4892" w:hanging="286"/>
      </w:pPr>
      <w:rPr>
        <w:rFonts w:hint="default"/>
        <w:lang w:val="kk-KZ" w:eastAsia="en-US" w:bidi="ar-SA"/>
      </w:rPr>
    </w:lvl>
    <w:lvl w:ilvl="6" w:tplc="F49248D0">
      <w:numFmt w:val="bullet"/>
      <w:lvlText w:val="•"/>
      <w:lvlJc w:val="left"/>
      <w:pPr>
        <w:ind w:left="5842" w:hanging="286"/>
      </w:pPr>
      <w:rPr>
        <w:rFonts w:hint="default"/>
        <w:lang w:val="kk-KZ" w:eastAsia="en-US" w:bidi="ar-SA"/>
      </w:rPr>
    </w:lvl>
    <w:lvl w:ilvl="7" w:tplc="B5B6BD92">
      <w:numFmt w:val="bullet"/>
      <w:lvlText w:val="•"/>
      <w:lvlJc w:val="left"/>
      <w:pPr>
        <w:ind w:left="6792" w:hanging="286"/>
      </w:pPr>
      <w:rPr>
        <w:rFonts w:hint="default"/>
        <w:lang w:val="kk-KZ" w:eastAsia="en-US" w:bidi="ar-SA"/>
      </w:rPr>
    </w:lvl>
    <w:lvl w:ilvl="8" w:tplc="24F05BA0">
      <w:numFmt w:val="bullet"/>
      <w:lvlText w:val="•"/>
      <w:lvlJc w:val="left"/>
      <w:pPr>
        <w:ind w:left="7743" w:hanging="28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2A"/>
    <w:rsid w:val="005A554D"/>
    <w:rsid w:val="00B70D4D"/>
    <w:rsid w:val="00C74C2A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841"/>
  <w15:chartTrackingRefBased/>
  <w15:docId w15:val="{1AE55BC6-CBF3-406E-BA9F-86FD6E71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5A554D"/>
    <w:pPr>
      <w:widowControl w:val="0"/>
      <w:autoSpaceDE w:val="0"/>
      <w:autoSpaceDN w:val="0"/>
      <w:spacing w:after="0" w:line="240" w:lineRule="auto"/>
      <w:ind w:left="85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A554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5A554D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A554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5A554D"/>
    <w:pPr>
      <w:widowControl w:val="0"/>
      <w:autoSpaceDE w:val="0"/>
      <w:autoSpaceDN w:val="0"/>
      <w:spacing w:after="0" w:line="240" w:lineRule="auto"/>
      <w:ind w:left="143" w:firstLine="707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B70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2025-10-27T08:39:00Z</dcterms:created>
  <dcterms:modified xsi:type="dcterms:W3CDTF">2025-10-27T12:44:00Z</dcterms:modified>
</cp:coreProperties>
</file>