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5A9" w:rsidRDefault="006725A9" w:rsidP="006725A9">
      <w:pPr>
        <w:pStyle w:val="a3"/>
        <w:shd w:val="clear" w:color="auto" w:fill="FFFFFF"/>
        <w:spacing w:before="0" w:beforeAutospacing="0" w:after="0" w:afterAutospacing="0"/>
        <w:ind w:left="360" w:firstLine="360"/>
        <w:jc w:val="center"/>
        <w:rPr>
          <w:rFonts w:ascii="Arial" w:hAnsi="Arial" w:cs="Arial"/>
          <w:b/>
          <w:bCs/>
          <w:i/>
          <w:iCs/>
          <w:color w:val="181818"/>
          <w:sz w:val="28"/>
          <w:szCs w:val="28"/>
        </w:rPr>
      </w:pPr>
      <w:r>
        <w:rPr>
          <w:b/>
          <w:bCs/>
          <w:iCs/>
          <w:color w:val="181818"/>
          <w:sz w:val="32"/>
          <w:szCs w:val="32"/>
        </w:rPr>
        <w:t>Методика «</w:t>
      </w:r>
      <w:r w:rsidRPr="006725A9">
        <w:rPr>
          <w:b/>
          <w:bCs/>
          <w:iCs/>
          <w:color w:val="181818"/>
          <w:sz w:val="32"/>
          <w:szCs w:val="32"/>
        </w:rPr>
        <w:t>Полоска</w:t>
      </w:r>
      <w:r>
        <w:rPr>
          <w:rFonts w:ascii="Arial" w:hAnsi="Arial" w:cs="Arial"/>
          <w:b/>
          <w:bCs/>
          <w:i/>
          <w:iCs/>
          <w:color w:val="181818"/>
          <w:sz w:val="28"/>
          <w:szCs w:val="28"/>
        </w:rPr>
        <w:t>»</w:t>
      </w:r>
    </w:p>
    <w:p w:rsidR="006725A9" w:rsidRDefault="006725A9" w:rsidP="006725A9">
      <w:pPr>
        <w:pStyle w:val="a3"/>
        <w:shd w:val="clear" w:color="auto" w:fill="FFFFFF"/>
        <w:spacing w:before="0" w:beforeAutospacing="0" w:after="0" w:afterAutospacing="0"/>
        <w:ind w:left="360" w:firstLine="360"/>
        <w:jc w:val="center"/>
        <w:rPr>
          <w:bCs/>
          <w:i/>
          <w:iCs/>
          <w:color w:val="181818"/>
          <w:sz w:val="28"/>
          <w:szCs w:val="28"/>
        </w:rPr>
      </w:pPr>
      <w:r w:rsidRPr="006725A9">
        <w:rPr>
          <w:bCs/>
          <w:i/>
          <w:iCs/>
          <w:color w:val="181818"/>
          <w:sz w:val="28"/>
          <w:szCs w:val="28"/>
        </w:rPr>
        <w:t>(автор Л. И. Аршавина)</w:t>
      </w:r>
    </w:p>
    <w:p w:rsidR="006725A9" w:rsidRPr="006725A9" w:rsidRDefault="006725A9" w:rsidP="006725A9">
      <w:pPr>
        <w:pStyle w:val="a3"/>
        <w:shd w:val="clear" w:color="auto" w:fill="FFFFFF"/>
        <w:spacing w:before="0" w:beforeAutospacing="0" w:after="0" w:afterAutospacing="0"/>
        <w:ind w:left="360" w:firstLine="360"/>
        <w:jc w:val="center"/>
        <w:rPr>
          <w:color w:val="181818"/>
          <w:sz w:val="21"/>
          <w:szCs w:val="21"/>
        </w:rPr>
      </w:pPr>
    </w:p>
    <w:p w:rsidR="006725A9" w:rsidRDefault="006725A9" w:rsidP="006725A9">
      <w:pPr>
        <w:pStyle w:val="a3"/>
        <w:shd w:val="clear" w:color="auto" w:fill="FFFFFF"/>
        <w:spacing w:before="0" w:beforeAutospacing="0" w:after="0" w:afterAutospacing="0"/>
        <w:ind w:left="360" w:firstLine="360"/>
        <w:jc w:val="both"/>
        <w:rPr>
          <w:rFonts w:ascii="Arial" w:hAnsi="Arial" w:cs="Arial"/>
          <w:color w:val="181818"/>
          <w:sz w:val="28"/>
          <w:szCs w:val="28"/>
        </w:rPr>
      </w:pPr>
      <w:r w:rsidRPr="006725A9">
        <w:rPr>
          <w:b/>
          <w:i/>
          <w:color w:val="181818"/>
          <w:sz w:val="28"/>
          <w:szCs w:val="28"/>
        </w:rPr>
        <w:t>Цель:</w:t>
      </w:r>
      <w:r>
        <w:rPr>
          <w:rFonts w:ascii="Arial" w:hAnsi="Arial" w:cs="Arial"/>
          <w:color w:val="181818"/>
          <w:sz w:val="28"/>
          <w:szCs w:val="28"/>
        </w:rPr>
        <w:t xml:space="preserve"> </w:t>
      </w:r>
      <w:r w:rsidRPr="006725A9">
        <w:rPr>
          <w:color w:val="181818"/>
          <w:sz w:val="28"/>
          <w:szCs w:val="28"/>
        </w:rPr>
        <w:t xml:space="preserve">выявление уровня </w:t>
      </w:r>
      <w:proofErr w:type="spellStart"/>
      <w:r w:rsidRPr="006725A9">
        <w:rPr>
          <w:color w:val="181818"/>
          <w:sz w:val="28"/>
          <w:szCs w:val="28"/>
        </w:rPr>
        <w:t>сформированности</w:t>
      </w:r>
      <w:proofErr w:type="spellEnd"/>
      <w:r w:rsidRPr="006725A9">
        <w:rPr>
          <w:color w:val="181818"/>
          <w:sz w:val="28"/>
          <w:szCs w:val="28"/>
        </w:rPr>
        <w:t xml:space="preserve"> действия анализа.</w:t>
      </w:r>
      <w:r>
        <w:rPr>
          <w:rFonts w:ascii="Arial" w:hAnsi="Arial" w:cs="Arial"/>
          <w:color w:val="181818"/>
          <w:sz w:val="28"/>
          <w:szCs w:val="28"/>
        </w:rPr>
        <w:t xml:space="preserve"> </w:t>
      </w:r>
    </w:p>
    <w:p w:rsidR="006725A9" w:rsidRDefault="006725A9" w:rsidP="006725A9">
      <w:pPr>
        <w:pStyle w:val="a3"/>
        <w:shd w:val="clear" w:color="auto" w:fill="FFFFFF"/>
        <w:spacing w:before="0" w:beforeAutospacing="0" w:after="0" w:afterAutospacing="0"/>
        <w:ind w:left="360" w:firstLine="360"/>
        <w:jc w:val="both"/>
        <w:rPr>
          <w:color w:val="181818"/>
          <w:sz w:val="28"/>
          <w:szCs w:val="28"/>
        </w:rPr>
      </w:pPr>
      <w:r w:rsidRPr="006725A9">
        <w:rPr>
          <w:b/>
          <w:i/>
          <w:color w:val="181818"/>
          <w:sz w:val="28"/>
          <w:szCs w:val="28"/>
        </w:rPr>
        <w:t>Оцениваемые универсальные учебные действия:</w:t>
      </w:r>
      <w:r w:rsidRPr="006725A9">
        <w:rPr>
          <w:color w:val="181818"/>
          <w:sz w:val="28"/>
          <w:szCs w:val="28"/>
        </w:rPr>
        <w:t xml:space="preserve"> регулятивные действия планирования и контроля, логические действия анализа, синтеза, установления аналогий.</w:t>
      </w:r>
    </w:p>
    <w:p w:rsidR="006725A9" w:rsidRDefault="006725A9" w:rsidP="006725A9">
      <w:pPr>
        <w:pStyle w:val="a3"/>
        <w:shd w:val="clear" w:color="auto" w:fill="FFFFFF"/>
        <w:spacing w:before="0" w:beforeAutospacing="0" w:after="0" w:afterAutospacing="0"/>
        <w:ind w:left="360" w:firstLine="360"/>
        <w:jc w:val="both"/>
        <w:rPr>
          <w:color w:val="181818"/>
          <w:sz w:val="28"/>
          <w:szCs w:val="28"/>
        </w:rPr>
      </w:pPr>
      <w:r>
        <w:rPr>
          <w:b/>
          <w:i/>
          <w:color w:val="181818"/>
          <w:sz w:val="28"/>
          <w:szCs w:val="28"/>
        </w:rPr>
        <w:t>Возраст:</w:t>
      </w:r>
      <w:r>
        <w:rPr>
          <w:color w:val="181818"/>
          <w:sz w:val="28"/>
          <w:szCs w:val="28"/>
        </w:rPr>
        <w:t xml:space="preserve"> 6,5-8 лет.</w:t>
      </w:r>
    </w:p>
    <w:p w:rsidR="006725A9" w:rsidRDefault="006725A9" w:rsidP="006725A9">
      <w:pPr>
        <w:pStyle w:val="a3"/>
        <w:shd w:val="clear" w:color="auto" w:fill="FFFFFF"/>
        <w:spacing w:before="0" w:beforeAutospacing="0" w:after="0" w:afterAutospacing="0"/>
        <w:ind w:left="360" w:firstLine="360"/>
        <w:jc w:val="both"/>
        <w:rPr>
          <w:color w:val="181818"/>
          <w:sz w:val="28"/>
          <w:szCs w:val="28"/>
        </w:rPr>
      </w:pPr>
      <w:r>
        <w:rPr>
          <w:b/>
          <w:i/>
          <w:color w:val="181818"/>
          <w:sz w:val="28"/>
          <w:szCs w:val="28"/>
        </w:rPr>
        <w:t>Метод оценивания:</w:t>
      </w:r>
      <w:r>
        <w:rPr>
          <w:color w:val="181818"/>
          <w:sz w:val="28"/>
          <w:szCs w:val="28"/>
        </w:rPr>
        <w:t xml:space="preserve"> обследование можно проводить как фронтально, так и индивидуально.</w:t>
      </w:r>
    </w:p>
    <w:p w:rsidR="006725A9" w:rsidRPr="006725A9" w:rsidRDefault="006725A9" w:rsidP="006725A9">
      <w:pPr>
        <w:pStyle w:val="a3"/>
        <w:shd w:val="clear" w:color="auto" w:fill="FFFFFF"/>
        <w:spacing w:before="0" w:beforeAutospacing="0" w:after="0" w:afterAutospacing="0"/>
        <w:ind w:left="360" w:firstLine="360"/>
        <w:jc w:val="both"/>
        <w:rPr>
          <w:color w:val="181818"/>
          <w:sz w:val="28"/>
          <w:szCs w:val="28"/>
        </w:rPr>
      </w:pPr>
      <w:r>
        <w:rPr>
          <w:b/>
          <w:i/>
          <w:color w:val="181818"/>
          <w:sz w:val="28"/>
          <w:szCs w:val="28"/>
        </w:rPr>
        <w:t>Описание задания.</w:t>
      </w:r>
      <w:r>
        <w:rPr>
          <w:color w:val="181818"/>
          <w:sz w:val="28"/>
          <w:szCs w:val="28"/>
        </w:rPr>
        <w:t xml:space="preserve"> </w:t>
      </w:r>
      <w:r w:rsidRPr="006725A9">
        <w:rPr>
          <w:color w:val="181818"/>
          <w:sz w:val="28"/>
          <w:szCs w:val="28"/>
        </w:rPr>
        <w:t xml:space="preserve">Ученикам дается три пары полосок разной длины. Методика состоит из трех однотипных задач: в двух из них полоски разграфлены на одинаковые деления, а последняя пара полосок предлагается учащимся без делений. </w:t>
      </w:r>
    </w:p>
    <w:p w:rsidR="00277B9B" w:rsidRDefault="00277B9B" w:rsidP="00277B9B">
      <w:pPr>
        <w:pStyle w:val="a3"/>
        <w:shd w:val="clear" w:color="auto" w:fill="FFFFFF"/>
        <w:spacing w:before="0" w:beforeAutospacing="0" w:after="0" w:afterAutospacing="0"/>
        <w:ind w:left="426" w:hanging="1"/>
        <w:jc w:val="both"/>
        <w:rPr>
          <w:rFonts w:ascii="Arial" w:hAnsi="Arial" w:cs="Arial"/>
          <w:color w:val="181818"/>
          <w:sz w:val="28"/>
          <w:szCs w:val="28"/>
        </w:rPr>
      </w:pPr>
      <w:r>
        <w:rPr>
          <w:b/>
          <w:i/>
          <w:color w:val="181818"/>
          <w:sz w:val="28"/>
          <w:szCs w:val="28"/>
        </w:rPr>
        <w:t xml:space="preserve">    </w:t>
      </w:r>
      <w:r w:rsidRPr="00277B9B">
        <w:rPr>
          <w:b/>
          <w:i/>
          <w:color w:val="181818"/>
          <w:sz w:val="28"/>
          <w:szCs w:val="28"/>
        </w:rPr>
        <w:t>Инструкция.</w:t>
      </w:r>
      <w:r>
        <w:rPr>
          <w:rFonts w:ascii="Arial" w:hAnsi="Arial" w:cs="Arial"/>
          <w:color w:val="181818"/>
          <w:sz w:val="28"/>
          <w:szCs w:val="28"/>
        </w:rPr>
        <w:t xml:space="preserve"> </w:t>
      </w:r>
      <w:r w:rsidRPr="00277B9B">
        <w:rPr>
          <w:color w:val="181818"/>
          <w:sz w:val="28"/>
          <w:szCs w:val="28"/>
        </w:rPr>
        <w:t>«Вам даны три пары полосок. О</w:t>
      </w:r>
      <w:r w:rsidR="006725A9" w:rsidRPr="00277B9B">
        <w:rPr>
          <w:color w:val="181818"/>
          <w:sz w:val="28"/>
          <w:szCs w:val="28"/>
        </w:rPr>
        <w:t>т большей полоски из пары отрезать такую часть, чтобы в результате добавления отрезанной части к меньшей полоске они стали одинаковыми.</w:t>
      </w:r>
      <w:r w:rsidRPr="00277B9B">
        <w:rPr>
          <w:color w:val="181818"/>
          <w:sz w:val="28"/>
          <w:szCs w:val="28"/>
        </w:rPr>
        <w:t>»</w:t>
      </w:r>
      <w:r w:rsidR="006725A9">
        <w:rPr>
          <w:rFonts w:ascii="Arial" w:hAnsi="Arial" w:cs="Arial"/>
          <w:color w:val="181818"/>
          <w:sz w:val="28"/>
          <w:szCs w:val="28"/>
        </w:rPr>
        <w:t xml:space="preserve"> </w:t>
      </w:r>
      <w:r>
        <w:rPr>
          <w:rFonts w:ascii="Arial" w:hAnsi="Arial" w:cs="Arial"/>
          <w:color w:val="181818"/>
          <w:sz w:val="28"/>
          <w:szCs w:val="28"/>
        </w:rPr>
        <w:t xml:space="preserve">                                               </w:t>
      </w:r>
    </w:p>
    <w:p w:rsidR="006725A9" w:rsidRPr="00277B9B" w:rsidRDefault="006725A9" w:rsidP="00277B9B">
      <w:pPr>
        <w:pStyle w:val="a3"/>
        <w:shd w:val="clear" w:color="auto" w:fill="FFFFFF"/>
        <w:spacing w:before="0" w:beforeAutospacing="0" w:after="0" w:afterAutospacing="0"/>
        <w:ind w:left="426" w:firstLine="283"/>
        <w:jc w:val="both"/>
        <w:rPr>
          <w:color w:val="181818"/>
          <w:sz w:val="28"/>
          <w:szCs w:val="28"/>
        </w:rPr>
      </w:pPr>
      <w:r w:rsidRPr="00277B9B">
        <w:rPr>
          <w:color w:val="181818"/>
          <w:sz w:val="28"/>
          <w:szCs w:val="28"/>
        </w:rPr>
        <w:t>Принцип решения этих однотипных задач состоит в том, что “лишняя” часть любой большей полоски должна быть представлена как сумма двух одинаковых частей. Для выделения этого принципа учащиеся должны отбросить “навязываемый” им эмпирический способ (подсчет делений, на которые разграфлены полоски) и применить теоретический способ (согнуть “лишнюю” часть большей полоски пополам).</w:t>
      </w:r>
    </w:p>
    <w:p w:rsidR="00277B9B" w:rsidRDefault="006725A9" w:rsidP="006725A9">
      <w:pPr>
        <w:pStyle w:val="a3"/>
        <w:shd w:val="clear" w:color="auto" w:fill="FFFFFF"/>
        <w:spacing w:before="0" w:beforeAutospacing="0" w:after="0" w:afterAutospacing="0"/>
        <w:ind w:left="360" w:firstLine="360"/>
        <w:jc w:val="both"/>
        <w:rPr>
          <w:rFonts w:ascii="Arial" w:hAnsi="Arial" w:cs="Arial"/>
          <w:color w:val="181818"/>
          <w:sz w:val="28"/>
          <w:szCs w:val="28"/>
        </w:rPr>
      </w:pPr>
      <w:r w:rsidRPr="00277B9B">
        <w:rPr>
          <w:b/>
          <w:i/>
          <w:color w:val="181818"/>
          <w:sz w:val="28"/>
          <w:szCs w:val="28"/>
        </w:rPr>
        <w:t>Оценка результатов</w:t>
      </w:r>
    </w:p>
    <w:p w:rsidR="00124AA8" w:rsidRPr="00124AA8" w:rsidRDefault="006725A9" w:rsidP="006725A9">
      <w:pPr>
        <w:pStyle w:val="a3"/>
        <w:shd w:val="clear" w:color="auto" w:fill="FFFFFF"/>
        <w:spacing w:before="0" w:beforeAutospacing="0" w:after="0" w:afterAutospacing="0"/>
        <w:ind w:left="360" w:firstLine="360"/>
        <w:jc w:val="both"/>
        <w:rPr>
          <w:color w:val="181818"/>
          <w:sz w:val="28"/>
          <w:szCs w:val="28"/>
        </w:rPr>
      </w:pPr>
      <w:r w:rsidRPr="00277B9B">
        <w:rPr>
          <w:b/>
          <w:i/>
          <w:color w:val="181818"/>
          <w:sz w:val="28"/>
          <w:szCs w:val="28"/>
        </w:rPr>
        <w:t>4-й уровень</w:t>
      </w:r>
      <w:r>
        <w:rPr>
          <w:rFonts w:ascii="Arial" w:hAnsi="Arial" w:cs="Arial"/>
          <w:color w:val="181818"/>
          <w:sz w:val="28"/>
          <w:szCs w:val="28"/>
        </w:rPr>
        <w:t> </w:t>
      </w:r>
      <w:r w:rsidRPr="00277B9B">
        <w:rPr>
          <w:color w:val="181818"/>
          <w:sz w:val="28"/>
          <w:szCs w:val="28"/>
        </w:rPr>
        <w:t>- наиболее высокий.</w:t>
      </w:r>
      <w:r>
        <w:rPr>
          <w:rFonts w:ascii="Arial" w:hAnsi="Arial" w:cs="Arial"/>
          <w:color w:val="181818"/>
          <w:sz w:val="28"/>
          <w:szCs w:val="28"/>
        </w:rPr>
        <w:t xml:space="preserve"> </w:t>
      </w:r>
      <w:r w:rsidRPr="00124AA8">
        <w:rPr>
          <w:color w:val="181818"/>
          <w:sz w:val="28"/>
          <w:szCs w:val="28"/>
        </w:rPr>
        <w:t xml:space="preserve">К нему относятся дети, которые самостоятельно находят принцип решения в представленной задаче и действуют в соответствии с этим принципом. Поисково-исследовательская активность протекает преимущественно в умственном плане. </w:t>
      </w:r>
    </w:p>
    <w:p w:rsidR="00124AA8" w:rsidRPr="00124AA8" w:rsidRDefault="006725A9" w:rsidP="006725A9">
      <w:pPr>
        <w:pStyle w:val="a3"/>
        <w:shd w:val="clear" w:color="auto" w:fill="FFFFFF"/>
        <w:spacing w:before="0" w:beforeAutospacing="0" w:after="0" w:afterAutospacing="0"/>
        <w:ind w:left="360" w:firstLine="360"/>
        <w:jc w:val="both"/>
        <w:rPr>
          <w:i/>
          <w:iCs/>
          <w:color w:val="181818"/>
          <w:sz w:val="28"/>
          <w:szCs w:val="28"/>
        </w:rPr>
      </w:pPr>
      <w:r w:rsidRPr="00124AA8">
        <w:rPr>
          <w:b/>
          <w:i/>
          <w:color w:val="181818"/>
          <w:sz w:val="28"/>
          <w:szCs w:val="28"/>
        </w:rPr>
        <w:t xml:space="preserve">3-й уровень </w:t>
      </w:r>
      <w:r w:rsidRPr="00124AA8">
        <w:rPr>
          <w:color w:val="181818"/>
          <w:sz w:val="28"/>
          <w:szCs w:val="28"/>
        </w:rPr>
        <w:t>- учащиеся не могут сразу самостоятельно найти принцип решения. Им требуется подсказка учителя. После решения 1-2 задач эмпирическим способом, учащиеся находят теоретический способ решения задач и выделяют искомый принцип</w:t>
      </w:r>
      <w:r w:rsidRPr="00124AA8">
        <w:rPr>
          <w:i/>
          <w:iCs/>
          <w:color w:val="181818"/>
          <w:sz w:val="28"/>
          <w:szCs w:val="28"/>
        </w:rPr>
        <w:t>.</w:t>
      </w:r>
    </w:p>
    <w:p w:rsidR="00124AA8" w:rsidRDefault="006725A9" w:rsidP="00124AA8">
      <w:pPr>
        <w:pStyle w:val="a3"/>
        <w:shd w:val="clear" w:color="auto" w:fill="FFFFFF"/>
        <w:spacing w:before="0" w:beforeAutospacing="0" w:after="0" w:afterAutospacing="0"/>
        <w:ind w:left="360" w:firstLine="207"/>
        <w:jc w:val="both"/>
        <w:rPr>
          <w:rFonts w:ascii="Arial" w:hAnsi="Arial" w:cs="Arial"/>
          <w:color w:val="181818"/>
          <w:sz w:val="28"/>
          <w:szCs w:val="28"/>
        </w:rPr>
      </w:pPr>
      <w:r>
        <w:rPr>
          <w:rFonts w:ascii="Arial" w:hAnsi="Arial" w:cs="Arial"/>
          <w:i/>
          <w:iCs/>
          <w:color w:val="181818"/>
          <w:sz w:val="28"/>
          <w:szCs w:val="28"/>
        </w:rPr>
        <w:t> </w:t>
      </w:r>
      <w:r w:rsidRPr="00124AA8">
        <w:rPr>
          <w:b/>
          <w:i/>
          <w:color w:val="181818"/>
          <w:sz w:val="28"/>
          <w:szCs w:val="28"/>
        </w:rPr>
        <w:t>2-й уровень</w:t>
      </w:r>
      <w:r>
        <w:rPr>
          <w:rFonts w:ascii="Arial" w:hAnsi="Arial" w:cs="Arial"/>
          <w:color w:val="181818"/>
          <w:sz w:val="28"/>
          <w:szCs w:val="28"/>
        </w:rPr>
        <w:t xml:space="preserve"> - </w:t>
      </w:r>
      <w:r w:rsidRPr="00124AA8">
        <w:rPr>
          <w:color w:val="181818"/>
          <w:sz w:val="28"/>
          <w:szCs w:val="28"/>
        </w:rPr>
        <w:t>учащиеся решают все задачи эмпирическим способом, поисково-исследовательская активность разворачивается в предметном плане.</w:t>
      </w:r>
      <w:r>
        <w:rPr>
          <w:rFonts w:ascii="Arial" w:hAnsi="Arial" w:cs="Arial"/>
          <w:color w:val="181818"/>
          <w:sz w:val="28"/>
          <w:szCs w:val="28"/>
        </w:rPr>
        <w:t xml:space="preserve"> </w:t>
      </w:r>
    </w:p>
    <w:p w:rsidR="006725A9" w:rsidRDefault="006725A9" w:rsidP="00124AA8">
      <w:pPr>
        <w:pStyle w:val="a3"/>
        <w:shd w:val="clear" w:color="auto" w:fill="FFFFFF"/>
        <w:spacing w:before="0" w:beforeAutospacing="0" w:after="0" w:afterAutospacing="0"/>
        <w:ind w:left="360" w:firstLine="207"/>
        <w:jc w:val="both"/>
        <w:rPr>
          <w:color w:val="181818"/>
          <w:sz w:val="28"/>
          <w:szCs w:val="28"/>
        </w:rPr>
      </w:pPr>
      <w:r w:rsidRPr="00124AA8">
        <w:rPr>
          <w:b/>
          <w:i/>
          <w:color w:val="181818"/>
          <w:sz w:val="28"/>
          <w:szCs w:val="28"/>
        </w:rPr>
        <w:t>1-й уровень</w:t>
      </w:r>
      <w:r>
        <w:rPr>
          <w:rFonts w:ascii="Arial" w:hAnsi="Arial" w:cs="Arial"/>
          <w:i/>
          <w:iCs/>
          <w:color w:val="181818"/>
          <w:sz w:val="28"/>
          <w:szCs w:val="28"/>
        </w:rPr>
        <w:t> </w:t>
      </w:r>
      <w:r>
        <w:rPr>
          <w:rFonts w:ascii="Arial" w:hAnsi="Arial" w:cs="Arial"/>
          <w:color w:val="181818"/>
          <w:sz w:val="28"/>
          <w:szCs w:val="28"/>
        </w:rPr>
        <w:t xml:space="preserve">- </w:t>
      </w:r>
      <w:r w:rsidRPr="00124AA8">
        <w:rPr>
          <w:color w:val="181818"/>
          <w:sz w:val="28"/>
          <w:szCs w:val="28"/>
        </w:rPr>
        <w:t>учащиеся не могут выделить принцип решения ни в одной задаче, не могут понять инструкцию в течение длительного времени. Они выделяют несущественные признаки в условиях задач, не могут найти даже эмпирический способ решения задачи.</w:t>
      </w:r>
    </w:p>
    <w:p w:rsidR="00124AA8" w:rsidRDefault="00124AA8" w:rsidP="00124AA8">
      <w:pPr>
        <w:pStyle w:val="a3"/>
        <w:shd w:val="clear" w:color="auto" w:fill="FFFFFF"/>
        <w:spacing w:before="0" w:beforeAutospacing="0" w:after="0" w:afterAutospacing="0"/>
        <w:ind w:left="360" w:firstLine="207"/>
        <w:jc w:val="both"/>
        <w:rPr>
          <w:color w:val="181818"/>
          <w:sz w:val="21"/>
          <w:szCs w:val="21"/>
        </w:rPr>
      </w:pPr>
    </w:p>
    <w:p w:rsidR="00124AA8" w:rsidRDefault="00124AA8" w:rsidP="00124AA8">
      <w:pPr>
        <w:pStyle w:val="a3"/>
        <w:shd w:val="clear" w:color="auto" w:fill="FFFFFF"/>
        <w:spacing w:before="0" w:beforeAutospacing="0" w:after="0" w:afterAutospacing="0"/>
        <w:ind w:left="360" w:firstLine="207"/>
        <w:jc w:val="center"/>
        <w:rPr>
          <w:b/>
          <w:color w:val="181818"/>
          <w:sz w:val="28"/>
          <w:szCs w:val="28"/>
        </w:rPr>
      </w:pPr>
      <w:bookmarkStart w:id="0" w:name="_GoBack"/>
      <w:r w:rsidRPr="00124AA8">
        <w:rPr>
          <w:b/>
          <w:color w:val="181818"/>
          <w:sz w:val="28"/>
          <w:szCs w:val="28"/>
        </w:rPr>
        <w:t>Протокол к методике</w:t>
      </w:r>
    </w:p>
    <w:p w:rsidR="00124AA8" w:rsidRPr="00124AA8" w:rsidRDefault="00124AA8" w:rsidP="00124AA8">
      <w:pPr>
        <w:pStyle w:val="a3"/>
        <w:shd w:val="clear" w:color="auto" w:fill="FFFFFF"/>
        <w:spacing w:before="0" w:beforeAutospacing="0" w:after="0" w:afterAutospacing="0"/>
        <w:ind w:left="360" w:firstLine="207"/>
        <w:jc w:val="center"/>
        <w:rPr>
          <w:b/>
          <w:color w:val="181818"/>
          <w:sz w:val="28"/>
          <w:szCs w:val="28"/>
        </w:rPr>
      </w:pPr>
    </w:p>
    <w:tbl>
      <w:tblPr>
        <w:tblStyle w:val="a4"/>
        <w:tblW w:w="0" w:type="auto"/>
        <w:tblInd w:w="-5" w:type="dxa"/>
        <w:tblLook w:val="04A0" w:firstRow="1" w:lastRow="0" w:firstColumn="1" w:lastColumn="0" w:noHBand="0" w:noVBand="1"/>
      </w:tblPr>
      <w:tblGrid>
        <w:gridCol w:w="565"/>
        <w:gridCol w:w="2052"/>
        <w:gridCol w:w="1318"/>
        <w:gridCol w:w="1318"/>
        <w:gridCol w:w="1318"/>
        <w:gridCol w:w="1310"/>
        <w:gridCol w:w="1469"/>
      </w:tblGrid>
      <w:tr w:rsidR="00124AA8" w:rsidTr="00124AA8">
        <w:tc>
          <w:tcPr>
            <w:tcW w:w="567" w:type="dxa"/>
          </w:tcPr>
          <w:p w:rsidR="00124AA8" w:rsidRPr="00124AA8" w:rsidRDefault="00124AA8" w:rsidP="00124AA8">
            <w:pPr>
              <w:jc w:val="center"/>
              <w:rPr>
                <w:rFonts w:ascii="Times New Roman" w:hAnsi="Times New Roman" w:cs="Times New Roman"/>
                <w:b/>
              </w:rPr>
            </w:pPr>
            <w:r w:rsidRPr="00124AA8">
              <w:rPr>
                <w:rFonts w:ascii="Times New Roman" w:hAnsi="Times New Roman" w:cs="Times New Roman"/>
                <w:b/>
              </w:rPr>
              <w:t>№ п/п</w:t>
            </w:r>
          </w:p>
        </w:tc>
        <w:tc>
          <w:tcPr>
            <w:tcW w:w="2084" w:type="dxa"/>
          </w:tcPr>
          <w:p w:rsidR="00124AA8" w:rsidRPr="00124AA8" w:rsidRDefault="00124AA8" w:rsidP="00124AA8">
            <w:pPr>
              <w:jc w:val="center"/>
              <w:rPr>
                <w:rFonts w:ascii="Times New Roman" w:hAnsi="Times New Roman" w:cs="Times New Roman"/>
                <w:b/>
              </w:rPr>
            </w:pPr>
            <w:r w:rsidRPr="00124AA8">
              <w:rPr>
                <w:rFonts w:ascii="Times New Roman" w:hAnsi="Times New Roman" w:cs="Times New Roman"/>
                <w:b/>
              </w:rPr>
              <w:t>Фамилия, имя</w:t>
            </w:r>
          </w:p>
        </w:tc>
        <w:tc>
          <w:tcPr>
            <w:tcW w:w="1329" w:type="dxa"/>
          </w:tcPr>
          <w:p w:rsidR="00124AA8" w:rsidRPr="00124AA8" w:rsidRDefault="00124AA8" w:rsidP="00124AA8">
            <w:pPr>
              <w:jc w:val="center"/>
              <w:rPr>
                <w:rFonts w:ascii="Times New Roman" w:hAnsi="Times New Roman" w:cs="Times New Roman"/>
                <w:b/>
              </w:rPr>
            </w:pPr>
            <w:r w:rsidRPr="00124AA8">
              <w:rPr>
                <w:rFonts w:ascii="Times New Roman" w:hAnsi="Times New Roman" w:cs="Times New Roman"/>
                <w:b/>
              </w:rPr>
              <w:t>Задание 1</w:t>
            </w:r>
          </w:p>
        </w:tc>
        <w:tc>
          <w:tcPr>
            <w:tcW w:w="1329" w:type="dxa"/>
          </w:tcPr>
          <w:p w:rsidR="00124AA8" w:rsidRPr="00124AA8" w:rsidRDefault="00124AA8" w:rsidP="00124AA8">
            <w:pPr>
              <w:jc w:val="center"/>
              <w:rPr>
                <w:rFonts w:ascii="Times New Roman" w:hAnsi="Times New Roman" w:cs="Times New Roman"/>
                <w:b/>
              </w:rPr>
            </w:pPr>
            <w:r w:rsidRPr="00124AA8">
              <w:rPr>
                <w:rFonts w:ascii="Times New Roman" w:hAnsi="Times New Roman" w:cs="Times New Roman"/>
                <w:b/>
              </w:rPr>
              <w:t>Задание 2</w:t>
            </w:r>
          </w:p>
        </w:tc>
        <w:tc>
          <w:tcPr>
            <w:tcW w:w="1329" w:type="dxa"/>
          </w:tcPr>
          <w:p w:rsidR="00124AA8" w:rsidRPr="00124AA8" w:rsidRDefault="00124AA8" w:rsidP="00124AA8">
            <w:pPr>
              <w:jc w:val="center"/>
              <w:rPr>
                <w:rFonts w:ascii="Times New Roman" w:hAnsi="Times New Roman" w:cs="Times New Roman"/>
                <w:b/>
              </w:rPr>
            </w:pPr>
            <w:r w:rsidRPr="00124AA8">
              <w:rPr>
                <w:rFonts w:ascii="Times New Roman" w:hAnsi="Times New Roman" w:cs="Times New Roman"/>
                <w:b/>
              </w:rPr>
              <w:t>Задание 3</w:t>
            </w:r>
          </w:p>
        </w:tc>
        <w:tc>
          <w:tcPr>
            <w:tcW w:w="1326" w:type="dxa"/>
          </w:tcPr>
          <w:p w:rsidR="00124AA8" w:rsidRPr="00124AA8" w:rsidRDefault="00124AA8" w:rsidP="00124AA8">
            <w:pPr>
              <w:jc w:val="center"/>
              <w:rPr>
                <w:rFonts w:ascii="Times New Roman" w:hAnsi="Times New Roman" w:cs="Times New Roman"/>
                <w:b/>
              </w:rPr>
            </w:pPr>
            <w:r w:rsidRPr="00124AA8">
              <w:rPr>
                <w:rFonts w:ascii="Times New Roman" w:hAnsi="Times New Roman" w:cs="Times New Roman"/>
                <w:b/>
              </w:rPr>
              <w:t>Вывод</w:t>
            </w:r>
          </w:p>
        </w:tc>
        <w:tc>
          <w:tcPr>
            <w:tcW w:w="1381" w:type="dxa"/>
          </w:tcPr>
          <w:p w:rsidR="00124AA8" w:rsidRPr="00124AA8" w:rsidRDefault="00124AA8" w:rsidP="00124AA8">
            <w:pPr>
              <w:jc w:val="center"/>
              <w:rPr>
                <w:rFonts w:ascii="Times New Roman" w:hAnsi="Times New Roman" w:cs="Times New Roman"/>
                <w:b/>
              </w:rPr>
            </w:pPr>
            <w:r w:rsidRPr="00124AA8">
              <w:rPr>
                <w:rFonts w:ascii="Times New Roman" w:hAnsi="Times New Roman" w:cs="Times New Roman"/>
                <w:b/>
              </w:rPr>
              <w:t>Примечание</w:t>
            </w:r>
          </w:p>
        </w:tc>
      </w:tr>
      <w:tr w:rsidR="00124AA8" w:rsidTr="00124AA8">
        <w:tc>
          <w:tcPr>
            <w:tcW w:w="567" w:type="dxa"/>
          </w:tcPr>
          <w:p w:rsidR="00124AA8" w:rsidRDefault="00124AA8">
            <w:pPr>
              <w:rPr>
                <w:rFonts w:ascii="Times New Roman" w:hAnsi="Times New Roman" w:cs="Times New Roman"/>
              </w:rPr>
            </w:pPr>
          </w:p>
        </w:tc>
        <w:tc>
          <w:tcPr>
            <w:tcW w:w="2084" w:type="dxa"/>
          </w:tcPr>
          <w:p w:rsidR="00124AA8" w:rsidRDefault="00124AA8">
            <w:pPr>
              <w:rPr>
                <w:rFonts w:ascii="Times New Roman" w:hAnsi="Times New Roman" w:cs="Times New Roman"/>
              </w:rPr>
            </w:pPr>
          </w:p>
        </w:tc>
        <w:tc>
          <w:tcPr>
            <w:tcW w:w="1329" w:type="dxa"/>
          </w:tcPr>
          <w:p w:rsidR="00124AA8" w:rsidRDefault="00124AA8">
            <w:pPr>
              <w:rPr>
                <w:rFonts w:ascii="Times New Roman" w:hAnsi="Times New Roman" w:cs="Times New Roman"/>
              </w:rPr>
            </w:pPr>
          </w:p>
        </w:tc>
        <w:tc>
          <w:tcPr>
            <w:tcW w:w="1329" w:type="dxa"/>
          </w:tcPr>
          <w:p w:rsidR="00124AA8" w:rsidRDefault="00124AA8">
            <w:pPr>
              <w:rPr>
                <w:rFonts w:ascii="Times New Roman" w:hAnsi="Times New Roman" w:cs="Times New Roman"/>
              </w:rPr>
            </w:pPr>
          </w:p>
        </w:tc>
        <w:tc>
          <w:tcPr>
            <w:tcW w:w="1329" w:type="dxa"/>
          </w:tcPr>
          <w:p w:rsidR="00124AA8" w:rsidRDefault="00124AA8">
            <w:pPr>
              <w:rPr>
                <w:rFonts w:ascii="Times New Roman" w:hAnsi="Times New Roman" w:cs="Times New Roman"/>
              </w:rPr>
            </w:pPr>
          </w:p>
        </w:tc>
        <w:tc>
          <w:tcPr>
            <w:tcW w:w="1326" w:type="dxa"/>
          </w:tcPr>
          <w:p w:rsidR="00124AA8" w:rsidRDefault="00124AA8">
            <w:pPr>
              <w:rPr>
                <w:rFonts w:ascii="Times New Roman" w:hAnsi="Times New Roman" w:cs="Times New Roman"/>
              </w:rPr>
            </w:pPr>
          </w:p>
        </w:tc>
        <w:tc>
          <w:tcPr>
            <w:tcW w:w="1381" w:type="dxa"/>
          </w:tcPr>
          <w:p w:rsidR="00124AA8" w:rsidRDefault="00124AA8">
            <w:pPr>
              <w:rPr>
                <w:rFonts w:ascii="Times New Roman" w:hAnsi="Times New Roman" w:cs="Times New Roman"/>
              </w:rPr>
            </w:pPr>
          </w:p>
        </w:tc>
      </w:tr>
      <w:tr w:rsidR="00124AA8" w:rsidTr="00124AA8">
        <w:tc>
          <w:tcPr>
            <w:tcW w:w="567" w:type="dxa"/>
          </w:tcPr>
          <w:p w:rsidR="00124AA8" w:rsidRDefault="00124AA8">
            <w:pPr>
              <w:rPr>
                <w:rFonts w:ascii="Times New Roman" w:hAnsi="Times New Roman" w:cs="Times New Roman"/>
              </w:rPr>
            </w:pPr>
          </w:p>
        </w:tc>
        <w:tc>
          <w:tcPr>
            <w:tcW w:w="2084" w:type="dxa"/>
          </w:tcPr>
          <w:p w:rsidR="00124AA8" w:rsidRDefault="00124AA8">
            <w:pPr>
              <w:rPr>
                <w:rFonts w:ascii="Times New Roman" w:hAnsi="Times New Roman" w:cs="Times New Roman"/>
              </w:rPr>
            </w:pPr>
          </w:p>
        </w:tc>
        <w:tc>
          <w:tcPr>
            <w:tcW w:w="1329" w:type="dxa"/>
          </w:tcPr>
          <w:p w:rsidR="00124AA8" w:rsidRDefault="00124AA8">
            <w:pPr>
              <w:rPr>
                <w:rFonts w:ascii="Times New Roman" w:hAnsi="Times New Roman" w:cs="Times New Roman"/>
              </w:rPr>
            </w:pPr>
          </w:p>
        </w:tc>
        <w:tc>
          <w:tcPr>
            <w:tcW w:w="1329" w:type="dxa"/>
          </w:tcPr>
          <w:p w:rsidR="00124AA8" w:rsidRDefault="00124AA8">
            <w:pPr>
              <w:rPr>
                <w:rFonts w:ascii="Times New Roman" w:hAnsi="Times New Roman" w:cs="Times New Roman"/>
              </w:rPr>
            </w:pPr>
          </w:p>
        </w:tc>
        <w:tc>
          <w:tcPr>
            <w:tcW w:w="1329" w:type="dxa"/>
          </w:tcPr>
          <w:p w:rsidR="00124AA8" w:rsidRDefault="00124AA8">
            <w:pPr>
              <w:rPr>
                <w:rFonts w:ascii="Times New Roman" w:hAnsi="Times New Roman" w:cs="Times New Roman"/>
              </w:rPr>
            </w:pPr>
          </w:p>
        </w:tc>
        <w:tc>
          <w:tcPr>
            <w:tcW w:w="1326" w:type="dxa"/>
          </w:tcPr>
          <w:p w:rsidR="00124AA8" w:rsidRDefault="00124AA8">
            <w:pPr>
              <w:rPr>
                <w:rFonts w:ascii="Times New Roman" w:hAnsi="Times New Roman" w:cs="Times New Roman"/>
              </w:rPr>
            </w:pPr>
          </w:p>
        </w:tc>
        <w:tc>
          <w:tcPr>
            <w:tcW w:w="1381" w:type="dxa"/>
          </w:tcPr>
          <w:p w:rsidR="00124AA8" w:rsidRDefault="00124AA8">
            <w:pPr>
              <w:rPr>
                <w:rFonts w:ascii="Times New Roman" w:hAnsi="Times New Roman" w:cs="Times New Roman"/>
              </w:rPr>
            </w:pPr>
          </w:p>
        </w:tc>
      </w:tr>
      <w:bookmarkEnd w:id="0"/>
    </w:tbl>
    <w:p w:rsidR="00370D1A" w:rsidRPr="00124AA8" w:rsidRDefault="00370D1A">
      <w:pPr>
        <w:rPr>
          <w:rFonts w:ascii="Times New Roman" w:hAnsi="Times New Roman" w:cs="Times New Roman"/>
        </w:rPr>
      </w:pPr>
    </w:p>
    <w:sectPr w:rsidR="00370D1A" w:rsidRPr="00124AA8" w:rsidSect="006725A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89"/>
    <w:rsid w:val="00124AA8"/>
    <w:rsid w:val="00277B9B"/>
    <w:rsid w:val="00370D1A"/>
    <w:rsid w:val="006725A9"/>
    <w:rsid w:val="00954F9F"/>
    <w:rsid w:val="00BF3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DECE7-95C6-4532-9FD0-4680B9F5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5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124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2023-03-05T16:19:00Z</dcterms:created>
  <dcterms:modified xsi:type="dcterms:W3CDTF">2023-03-08T14:18:00Z</dcterms:modified>
</cp:coreProperties>
</file>