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D1" w:rsidRPr="007B799A" w:rsidRDefault="008646D1" w:rsidP="00864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99A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8646D1" w:rsidRPr="007B799A" w:rsidRDefault="008646D1" w:rsidP="00864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99A">
        <w:rPr>
          <w:rFonts w:ascii="Times New Roman" w:hAnsi="Times New Roman" w:cs="Times New Roman"/>
          <w:b/>
          <w:sz w:val="24"/>
          <w:szCs w:val="24"/>
        </w:rPr>
        <w:t xml:space="preserve">по итогам тестирования </w:t>
      </w:r>
      <w:proofErr w:type="spellStart"/>
      <w:r w:rsidRPr="007B799A">
        <w:rPr>
          <w:rFonts w:ascii="Times New Roman" w:hAnsi="Times New Roman" w:cs="Times New Roman"/>
          <w:b/>
          <w:sz w:val="24"/>
          <w:szCs w:val="24"/>
        </w:rPr>
        <w:t>индвивидуально</w:t>
      </w:r>
      <w:proofErr w:type="spellEnd"/>
      <w:r w:rsidRPr="007B799A">
        <w:rPr>
          <w:rFonts w:ascii="Times New Roman" w:hAnsi="Times New Roman" w:cs="Times New Roman"/>
          <w:b/>
          <w:sz w:val="24"/>
          <w:szCs w:val="24"/>
        </w:rPr>
        <w:t xml:space="preserve"> – психологических черт личности.</w:t>
      </w:r>
    </w:p>
    <w:p w:rsidR="008646D1" w:rsidRPr="008646D1" w:rsidRDefault="008646D1" w:rsidP="00864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99A">
        <w:rPr>
          <w:rFonts w:ascii="Times New Roman" w:hAnsi="Times New Roman" w:cs="Times New Roman"/>
          <w:b/>
          <w:sz w:val="24"/>
          <w:szCs w:val="24"/>
        </w:rPr>
        <w:t xml:space="preserve">(методика </w:t>
      </w:r>
      <w:proofErr w:type="spellStart"/>
      <w:r w:rsidRPr="007B799A">
        <w:rPr>
          <w:rFonts w:ascii="Times New Roman" w:hAnsi="Times New Roman" w:cs="Times New Roman"/>
          <w:b/>
          <w:sz w:val="24"/>
          <w:szCs w:val="24"/>
        </w:rPr>
        <w:t>Г.Айзенка</w:t>
      </w:r>
      <w:proofErr w:type="spellEnd"/>
      <w:r w:rsidRPr="007B7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99A">
        <w:rPr>
          <w:rFonts w:ascii="Times New Roman" w:hAnsi="Times New Roman" w:cs="Times New Roman"/>
          <w:b/>
          <w:sz w:val="24"/>
          <w:szCs w:val="24"/>
          <w:lang w:val="en-US"/>
        </w:rPr>
        <w:t>EP</w:t>
      </w:r>
      <w:r w:rsidRPr="007B799A">
        <w:rPr>
          <w:rFonts w:ascii="Times New Roman" w:hAnsi="Times New Roman" w:cs="Times New Roman"/>
          <w:b/>
          <w:sz w:val="24"/>
          <w:szCs w:val="24"/>
        </w:rPr>
        <w:t>1</w:t>
      </w:r>
      <w:r w:rsidRPr="008646D1">
        <w:rPr>
          <w:rFonts w:ascii="Times New Roman" w:hAnsi="Times New Roman" w:cs="Times New Roman"/>
          <w:b/>
          <w:sz w:val="24"/>
          <w:szCs w:val="24"/>
        </w:rPr>
        <w:t>)</w:t>
      </w:r>
    </w:p>
    <w:p w:rsidR="008646D1" w:rsidRDefault="008646D1" w:rsidP="008646D1">
      <w:pPr>
        <w:jc w:val="both"/>
        <w:rPr>
          <w:rFonts w:ascii="Times New Roman" w:hAnsi="Times New Roman" w:cs="Times New Roman"/>
          <w:sz w:val="24"/>
          <w:szCs w:val="24"/>
        </w:rPr>
      </w:pPr>
      <w:r w:rsidRPr="005717D6">
        <w:rPr>
          <w:rFonts w:ascii="Times New Roman" w:hAnsi="Times New Roman" w:cs="Times New Roman"/>
          <w:b/>
          <w:sz w:val="24"/>
          <w:szCs w:val="24"/>
        </w:rPr>
        <w:t>Диагностическая цель: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90EB9">
        <w:rPr>
          <w:rFonts w:ascii="Times New Roman" w:hAnsi="Times New Roman" w:cs="Times New Roman"/>
          <w:sz w:val="24"/>
          <w:szCs w:val="24"/>
        </w:rPr>
        <w:t xml:space="preserve">просник предназначен для изучения индивидуально-психологических черт личности с целью диагностики степени выраженности свойств, выдвигаемых в качестве существенных компонентов личности: </w:t>
      </w:r>
      <w:proofErr w:type="spellStart"/>
      <w:r w:rsidRPr="00790EB9">
        <w:rPr>
          <w:rFonts w:ascii="Times New Roman" w:hAnsi="Times New Roman" w:cs="Times New Roman"/>
          <w:sz w:val="24"/>
          <w:szCs w:val="24"/>
        </w:rPr>
        <w:t>нейротизма</w:t>
      </w:r>
      <w:proofErr w:type="spellEnd"/>
      <w:r w:rsidRPr="00790EB9">
        <w:rPr>
          <w:rFonts w:ascii="Times New Roman" w:hAnsi="Times New Roman" w:cs="Times New Roman"/>
          <w:sz w:val="24"/>
          <w:szCs w:val="24"/>
        </w:rPr>
        <w:t xml:space="preserve">, экстраверсии, интроверсии и </w:t>
      </w:r>
      <w:proofErr w:type="spellStart"/>
      <w:r w:rsidRPr="00790EB9">
        <w:rPr>
          <w:rFonts w:ascii="Times New Roman" w:hAnsi="Times New Roman" w:cs="Times New Roman"/>
          <w:sz w:val="24"/>
          <w:szCs w:val="24"/>
        </w:rPr>
        <w:t>психотизма</w:t>
      </w:r>
      <w:proofErr w:type="spellEnd"/>
      <w:r w:rsidRPr="00790EB9">
        <w:rPr>
          <w:rFonts w:ascii="Times New Roman" w:hAnsi="Times New Roman" w:cs="Times New Roman"/>
          <w:sz w:val="24"/>
          <w:szCs w:val="24"/>
        </w:rPr>
        <w:t>.</w:t>
      </w:r>
    </w:p>
    <w:p w:rsidR="008646D1" w:rsidRPr="00790EB9" w:rsidRDefault="008646D1" w:rsidP="00864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тестирования:</w:t>
      </w:r>
      <w:r w:rsidR="003B4727">
        <w:rPr>
          <w:rFonts w:ascii="Times New Roman" w:hAnsi="Times New Roman" w:cs="Times New Roman"/>
          <w:sz w:val="24"/>
          <w:szCs w:val="24"/>
        </w:rPr>
        <w:t xml:space="preserve"> апрель 202</w:t>
      </w:r>
      <w:r w:rsidR="003B472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46D1" w:rsidRDefault="008646D1" w:rsidP="0086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Личностный опросник Ганса </w:t>
      </w:r>
      <w:proofErr w:type="spellStart"/>
      <w:r w:rsidRPr="00790EB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Айзенка</w:t>
      </w:r>
      <w:proofErr w:type="spellEnd"/>
      <w:r w:rsidRPr="0079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(EPI) поможет  узнать  темперамент, определить тип темперамента с учетом интроверсии и экстраверсии личности, а так же эмоциональной устойчивости. </w:t>
      </w:r>
      <w:bookmarkStart w:id="0" w:name="_GoBack"/>
      <w:r w:rsidRPr="0079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самооценки по Г. </w:t>
      </w:r>
      <w:proofErr w:type="spellStart"/>
      <w:r w:rsidRPr="00790EB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Айзенку</w:t>
      </w:r>
      <w:proofErr w:type="spellEnd"/>
      <w:r w:rsidRPr="0079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79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является, пожалуй, классической методикой для определения темперамента и одной из самых значимых в современной психологии. </w:t>
      </w:r>
    </w:p>
    <w:p w:rsidR="008646D1" w:rsidRDefault="008646D1" w:rsidP="00864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обследования: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воспитанники спецшколы(31 человек).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1353"/>
        <w:gridCol w:w="1488"/>
        <w:gridCol w:w="2864"/>
        <w:gridCol w:w="2860"/>
      </w:tblGrid>
      <w:tr w:rsidR="008646D1" w:rsidRPr="007B799A" w:rsidTr="00D62D83">
        <w:trPr>
          <w:trHeight w:val="535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3" w:type="dxa"/>
          </w:tcPr>
          <w:p w:rsidR="008646D1" w:rsidRPr="007B799A" w:rsidRDefault="003B4727" w:rsidP="00D62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  <w:r w:rsidR="008646D1" w:rsidRPr="007B799A">
              <w:rPr>
                <w:rFonts w:ascii="Times New Roman" w:hAnsi="Times New Roman" w:cs="Times New Roman"/>
              </w:rPr>
              <w:t>, фамилия</w:t>
            </w: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Темперамент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Экстраверт-интроверт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Эмоциональная устойчивость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эстраверт</w:t>
            </w:r>
            <w:proofErr w:type="spellEnd"/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520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холерик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меланхолик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нестабильная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меланхолик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меланхолик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холерик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амбиверт</w:t>
            </w:r>
            <w:proofErr w:type="spellEnd"/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холерик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799A">
              <w:rPr>
                <w:rFonts w:ascii="Times New Roman" w:hAnsi="Times New Roman" w:cs="Times New Roman"/>
              </w:rPr>
              <w:t>Нестабильная,неуст</w:t>
            </w:r>
            <w:proofErr w:type="spellEnd"/>
            <w:proofErr w:type="gram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520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нестабильная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холерик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нестабильная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меланхолик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нестабильная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холерик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ind w:firstLine="708"/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Эмоционально устойчив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интоверт</w:t>
            </w:r>
            <w:proofErr w:type="spellEnd"/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меланхолик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амбиверт</w:t>
            </w:r>
            <w:proofErr w:type="spellEnd"/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Эм.уст.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Эм.уст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Средняя эмоциональная устойчивость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холерик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нестабильный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Склонность к интроверсии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Средняя эмоциональная устойчивость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меланхолик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Уст.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меланхолик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Уст.</w:t>
            </w:r>
          </w:p>
        </w:tc>
      </w:tr>
      <w:tr w:rsidR="008646D1" w:rsidRPr="007B799A" w:rsidTr="00D62D83">
        <w:trPr>
          <w:trHeight w:val="282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флегматик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интроверт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proofErr w:type="spellStart"/>
            <w:r w:rsidRPr="007B799A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7B799A">
              <w:rPr>
                <w:rFonts w:ascii="Times New Roman" w:hAnsi="Times New Roman" w:cs="Times New Roman"/>
              </w:rPr>
              <w:t>.</w:t>
            </w:r>
          </w:p>
        </w:tc>
      </w:tr>
      <w:tr w:rsidR="008646D1" w:rsidRPr="007B799A" w:rsidTr="00D62D83">
        <w:trPr>
          <w:trHeight w:val="268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Средний уровень эм. устойчивости</w:t>
            </w:r>
          </w:p>
        </w:tc>
      </w:tr>
      <w:tr w:rsidR="008646D1" w:rsidRPr="007B799A" w:rsidTr="00D62D83">
        <w:trPr>
          <w:trHeight w:val="253"/>
        </w:trPr>
        <w:tc>
          <w:tcPr>
            <w:tcW w:w="1006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сангвиник</w:t>
            </w:r>
          </w:p>
        </w:tc>
        <w:tc>
          <w:tcPr>
            <w:tcW w:w="2864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экстраверт</w:t>
            </w:r>
          </w:p>
        </w:tc>
        <w:tc>
          <w:tcPr>
            <w:tcW w:w="2860" w:type="dxa"/>
          </w:tcPr>
          <w:p w:rsidR="008646D1" w:rsidRPr="007B799A" w:rsidRDefault="008646D1" w:rsidP="00D62D83">
            <w:pPr>
              <w:rPr>
                <w:rFonts w:ascii="Times New Roman" w:hAnsi="Times New Roman" w:cs="Times New Roman"/>
              </w:rPr>
            </w:pPr>
            <w:r w:rsidRPr="007B799A">
              <w:rPr>
                <w:rFonts w:ascii="Times New Roman" w:hAnsi="Times New Roman" w:cs="Times New Roman"/>
              </w:rPr>
              <w:t>Эмоционально устойчив</w:t>
            </w:r>
          </w:p>
        </w:tc>
      </w:tr>
    </w:tbl>
    <w:p w:rsidR="008646D1" w:rsidRPr="007B799A" w:rsidRDefault="008646D1" w:rsidP="0086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8646D1" w:rsidRPr="007B799A" w:rsidRDefault="008646D1" w:rsidP="00864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подростками-холериками и меланхоликами следует </w:t>
      </w:r>
      <w:proofErr w:type="gram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,что</w:t>
      </w:r>
      <w:proofErr w:type="gram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отличает неустойчивость , нестабильность настроения, а сангвиники и флегматики отличаются устойчивостью и мажорностью мироощущения. Меланхолики склонны к реакции страха, холерики – к гневу и ярости, сангвиники -к положительным эмоциям, а флегматики вообще не склонны к бурному эмоциональному реагированию, хотя и тяготеют к эмоциям положительным.</w:t>
      </w:r>
    </w:p>
    <w:p w:rsidR="008646D1" w:rsidRPr="007B799A" w:rsidRDefault="008646D1" w:rsidP="00864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Сангвиники – люди с оптимально сбалансированными волевыми и коммуникативным свойствами, быстры, легко приспосабливаются к изменениям в жизни. Легко сходятся с новыми людьми, но не отличаются постоянством в общении. Продуктивно работают лишь тогда, когда много интересных дел, в противном случае находит себе дела по интересу или становятся вялыми. </w:t>
      </w:r>
    </w:p>
    <w:p w:rsidR="008646D1" w:rsidRPr="007B799A" w:rsidRDefault="008646D1" w:rsidP="00864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Холерики – вспыльчивы, </w:t>
      </w:r>
      <w:proofErr w:type="spell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несдержанны</w:t>
      </w:r>
      <w:proofErr w:type="spell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Приступают к делу со всей страстностью, но сил хватает ненадолго. Циклично сменяются активность и бодрость. Им трудно даётся деятельность, требующая вдумчивости, плавности, скрупулёзности: неизбежно они проявят нетерпение, порывистость, резкость движений. В общении вспыльчивы, </w:t>
      </w:r>
      <w:proofErr w:type="spell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необузданны</w:t>
      </w:r>
      <w:proofErr w:type="spell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нетерпеливы.</w:t>
      </w:r>
    </w:p>
    <w:p w:rsidR="008646D1" w:rsidRPr="007B799A" w:rsidRDefault="008646D1" w:rsidP="00864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Флегматики - обладают высокой работоспособностью, стабильны, но «тяжелы на подъём». Затрудненно включаются в новые ситуации. Настойчивые и упорные труженики, отличающиеся терпением, выдержкой, самообладанием. Но недостаточно </w:t>
      </w:r>
      <w:proofErr w:type="gram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 ,что</w:t>
      </w:r>
      <w:proofErr w:type="gram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затрудняет общение с ними. С новыми людьми нескоро начинает общаться, беседовать. При серьёзных неприятностях флегматики остаются внешне </w:t>
      </w:r>
      <w:proofErr w:type="gram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спокойными ,но</w:t>
      </w:r>
      <w:proofErr w:type="gram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следует думать, что они всепрощающи и безобидны. Могут при переполнении чаши их терпения «взорваться», и взрыв будет неожиданно мощным. </w:t>
      </w:r>
    </w:p>
    <w:p w:rsidR="008646D1" w:rsidRPr="007B799A" w:rsidRDefault="008646D1" w:rsidP="00864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Меланхолики излишне эмоционально реагируют на </w:t>
      </w:r>
      <w:proofErr w:type="gram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,для</w:t>
      </w:r>
      <w:proofErr w:type="gram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характерно быстрое падение работоспособности. Не умеют переносить длительных или резких </w:t>
      </w:r>
      <w:proofErr w:type="gram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напряжений ,теряются</w:t>
      </w:r>
      <w:proofErr w:type="gram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экзаменах, публичных выступлениях ,пугливы ,обычно легко плачут, внушаемы. Часто имеют выраженные художественные способности. Тревожны, незначительный повод может вызвать у них обиду, слёзы, малейшая трудность заставляет их опускать руки. Боятся новых контактов, уходят в себя, замыкаются, уединяются. Экстраверты склонны к открытому общению, в конфликтных ситуациях слабо способны анализировать собственные ошибки, видя причины происходящего вовне, но не в </w:t>
      </w:r>
      <w:proofErr w:type="spell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себе.Интроверты</w:t>
      </w:r>
      <w:proofErr w:type="spell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склонны к </w:t>
      </w:r>
      <w:proofErr w:type="spell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самокопательству</w:t>
      </w:r>
      <w:proofErr w:type="spell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самоедству, могут обвинять себя даже в том, к чему имеют совсем не большое отношение, способны обвинять себя во многих проблемах. Но умеют работать над собой и </w:t>
      </w:r>
      <w:proofErr w:type="spell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самосовершенствоваться.Амбиверты</w:t>
      </w:r>
      <w:proofErr w:type="spell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сочетают в себе в равной степени черты как экстравертов, так и интровертов.</w:t>
      </w:r>
    </w:p>
    <w:p w:rsidR="008646D1" w:rsidRPr="007B799A" w:rsidRDefault="008646D1" w:rsidP="00864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так же учесть тот процент учащихся, которые склонны давать социально желательные </w:t>
      </w:r>
      <w:proofErr w:type="spellStart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ответы.В</w:t>
      </w:r>
      <w:proofErr w:type="spellEnd"/>
      <w:r w:rsidRPr="007B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учителей и классных руководителей с учащимися следует учитывать их личностные особенности. </w:t>
      </w:r>
    </w:p>
    <w:p w:rsidR="008646D1" w:rsidRPr="00790EB9" w:rsidRDefault="008646D1" w:rsidP="00864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психолог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646D1" w:rsidRPr="00790EB9" w:rsidRDefault="008646D1" w:rsidP="00864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F23" w:rsidRDefault="003B4727"/>
    <w:sectPr w:rsidR="00DB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D1"/>
    <w:rsid w:val="003B4727"/>
    <w:rsid w:val="00652CCD"/>
    <w:rsid w:val="006D4D51"/>
    <w:rsid w:val="008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B62BB-F44D-420E-B448-FC231501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Admin</cp:lastModifiedBy>
  <cp:revision>3</cp:revision>
  <dcterms:created xsi:type="dcterms:W3CDTF">2021-05-20T11:15:00Z</dcterms:created>
  <dcterms:modified xsi:type="dcterms:W3CDTF">2023-07-17T12:20:00Z</dcterms:modified>
</cp:coreProperties>
</file>