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Lundi 29 novembre 2022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Matin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Présentation par binôme ou trinôme 9h90- 10h15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Retour sur le questionnaire 10h25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Nuage de mot : adolescence pour moi, qu’est-ce que c’est ? 10h30-10H40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Ressenti, représentation, mythologie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Définition de l’adolescence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PAUSE café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11h  : travail en groupe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4 groupes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Estime de soi : vidéo + texte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Les autres : vidéo + texte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Violence :vidéo + texte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L’humour : vidéo + texte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11h40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Présenter aux autres groupes : lien texte et vidéo et l’enjeu qui est posé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 minutes par groupes pas plus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12 h Conclusion : les besoins des ados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Questions et échanges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Après midi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Les jeunes et les réseaux sociaux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Les pratiques numériques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C’est quoi le numérique 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Pratiques : activités humaines, usages anthropologiques, usages sociaux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De la représentation du geek aux multiples réalités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Présentation des ateliers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Un dispositif numérique pour travailler en collaboration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Répartition  en groupe selon les thèmes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Découverte des outils proposés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Violences et cyberharcèlement (empathie- relation aux autres) : citoyenneté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Présence numérique (Identité et  traces numériques) : usages éthiques, citoyenneté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Une pratique extrême : l’addiction (sommeil, renfermement)= santé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Esprit critique : subjectivité/objectivité (débat, écoute de la parole de l’autre, argumentation, liberté d’expression)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Mardi 30 novembre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Matin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Finalisation des présentations des travaux des groupes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Après - midi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Présentation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