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509" w:rsidRDefault="00E93509" w:rsidP="00B958CD">
      <w:pPr>
        <w:pStyle w:val="berschrift1"/>
        <w:jc w:val="both"/>
      </w:pPr>
      <w:r>
        <w:t>Corona-Krise: Wie weit dürfen Grundrechtseinschränkungen gehen?</w:t>
      </w:r>
    </w:p>
    <w:p w:rsidR="00894AE4" w:rsidRDefault="00E93509" w:rsidP="00B958CD">
      <w:pPr>
        <w:pStyle w:val="berschrift2"/>
        <w:jc w:val="both"/>
      </w:pPr>
      <w:r>
        <w:t xml:space="preserve">Im Zuge der Corona-Pandemie werden die Grundrechte massiv eingeschränkt. Wie gut ist die deutsche Demokratie für Krisen </w:t>
      </w:r>
      <w:r w:rsidRPr="0007114D">
        <w:rPr>
          <w:u w:val="single"/>
        </w:rPr>
        <w:t>gewappnet</w:t>
      </w:r>
      <w:r>
        <w:t>? Sind die aktuellen Maßnahmen gerechtfertigt? Und warum sind jetzt die Parlamente gefragt? Ein Interview mit der Juristin Anika Klafki.</w:t>
      </w:r>
    </w:p>
    <w:p w:rsidR="00E93509" w:rsidRDefault="00B958CD" w:rsidP="00B958CD">
      <w:pPr>
        <w:jc w:val="both"/>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121285</wp:posOffset>
            </wp:positionV>
            <wp:extent cx="2095500" cy="1397000"/>
            <wp:effectExtent l="0" t="0" r="0" b="0"/>
            <wp:wrapSquare wrapText="bothSides"/>
            <wp:docPr id="2" name="Grafik 2" descr="Porträtfoto von Anika Klaf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rätfoto von Anika Klafk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14D" w:rsidRPr="00B958CD">
        <w:rPr>
          <w:b/>
          <w:bCs/>
        </w:rPr>
        <w:t xml:space="preserve">Tilman </w:t>
      </w:r>
      <w:proofErr w:type="spellStart"/>
      <w:r w:rsidR="0007114D" w:rsidRPr="00B958CD">
        <w:rPr>
          <w:b/>
          <w:bCs/>
        </w:rPr>
        <w:t>Schächtele</w:t>
      </w:r>
      <w:proofErr w:type="spellEnd"/>
      <w:r w:rsidR="0007114D" w:rsidRPr="00B958CD">
        <w:rPr>
          <w:b/>
          <w:bCs/>
        </w:rPr>
        <w:t xml:space="preserve"> (</w:t>
      </w:r>
      <w:proofErr w:type="spellStart"/>
      <w:r w:rsidR="0007114D" w:rsidRPr="00B958CD">
        <w:rPr>
          <w:b/>
          <w:bCs/>
        </w:rPr>
        <w:t>bpb</w:t>
      </w:r>
      <w:proofErr w:type="spellEnd"/>
      <w:r w:rsidR="0007114D" w:rsidRPr="00B958CD">
        <w:rPr>
          <w:b/>
          <w:bCs/>
        </w:rPr>
        <w:t>):</w:t>
      </w:r>
      <w:r w:rsidR="0007114D">
        <w:t xml:space="preserve"> </w:t>
      </w:r>
      <w:r w:rsidR="00E93509">
        <w:t xml:space="preserve">Mehrere europäische Staaten haben im Zuge der Corona-Krise den </w:t>
      </w:r>
      <w:r w:rsidR="00E93509" w:rsidRPr="00B958CD">
        <w:rPr>
          <w:u w:val="single"/>
        </w:rPr>
        <w:t>Notstand</w:t>
      </w:r>
      <w:r w:rsidR="00E93509">
        <w:t xml:space="preserve"> ausgerufen. Auch in Deutschland wurde das öffentliche Leben drastisch eingeschränkt. Befinden wir uns also auch hier in einem "Notstand"?</w:t>
      </w:r>
      <w:r>
        <w:rPr>
          <w:noProof/>
        </w:rPr>
        <mc:AlternateContent>
          <mc:Choice Requires="wps">
            <w:drawing>
              <wp:anchor distT="0" distB="0" distL="114300" distR="114300" simplePos="0" relativeHeight="251660288" behindDoc="0" locked="0" layoutInCell="1" allowOverlap="1" wp14:anchorId="40FC513B" wp14:editId="2AC5125C">
                <wp:simplePos x="0" y="0"/>
                <wp:positionH relativeFrom="column">
                  <wp:posOffset>1270</wp:posOffset>
                </wp:positionH>
                <wp:positionV relativeFrom="paragraph">
                  <wp:posOffset>1454785</wp:posOffset>
                </wp:positionV>
                <wp:extent cx="2095500"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wps:spPr>
                      <wps:txbx>
                        <w:txbxContent>
                          <w:p w:rsidR="00B958CD" w:rsidRDefault="00B958CD" w:rsidP="00B958CD">
                            <w:pPr>
                              <w:pStyle w:val="Beschriftung"/>
                              <w:spacing w:after="0"/>
                              <w:rPr>
                                <w:sz w:val="20"/>
                                <w:szCs w:val="20"/>
                              </w:rPr>
                            </w:pPr>
                            <w:r w:rsidRPr="00B958CD">
                              <w:rPr>
                                <w:sz w:val="20"/>
                                <w:szCs w:val="20"/>
                              </w:rPr>
                              <w:t>Porträtfoto von Anika Klafki</w:t>
                            </w:r>
                          </w:p>
                          <w:p w:rsidR="00B958CD" w:rsidRPr="00B958CD" w:rsidRDefault="00B958CD" w:rsidP="00B958CD">
                            <w:pPr>
                              <w:pStyle w:val="Beschriftung"/>
                              <w:spacing w:after="0"/>
                              <w:rPr>
                                <w:noProof/>
                                <w:sz w:val="20"/>
                                <w:szCs w:val="20"/>
                              </w:rPr>
                            </w:pPr>
                            <w:r w:rsidRPr="00B958CD">
                              <w:rPr>
                                <w:sz w:val="20"/>
                                <w:szCs w:val="20"/>
                              </w:rPr>
                              <w:t>(© Anne Günther)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FC513B" id="_x0000_t202" coordsize="21600,21600" o:spt="202" path="m,l,21600r21600,l21600,xe">
                <v:stroke joinstyle="miter"/>
                <v:path gradientshapeok="t" o:connecttype="rect"/>
              </v:shapetype>
              <v:shape id="Textfeld 1" o:spid="_x0000_s1026" type="#_x0000_t202" style="position:absolute;left:0;text-align:left;margin-left:.1pt;margin-top:114.55pt;width:1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" stroked="f">
                <v:textbox style="mso-fit-shape-to-text:t" inset="0,0,0,0">
                  <w:txbxContent>
                    <w:p w:rsidR="00B958CD" w:rsidRDefault="00B958CD" w:rsidP="00B958CD">
                      <w:pPr>
                        <w:pStyle w:val="Beschriftung"/>
                        <w:spacing w:after="0"/>
                        <w:rPr>
                          <w:sz w:val="20"/>
                          <w:szCs w:val="20"/>
                        </w:rPr>
                      </w:pPr>
                      <w:r w:rsidRPr="00B958CD">
                        <w:rPr>
                          <w:sz w:val="20"/>
                          <w:szCs w:val="20"/>
                        </w:rPr>
                        <w:t>Porträtfoto von Anika Klafki</w:t>
                      </w:r>
                    </w:p>
                    <w:p w:rsidR="00B958CD" w:rsidRPr="00B958CD" w:rsidRDefault="00B958CD" w:rsidP="00B958CD">
                      <w:pPr>
                        <w:pStyle w:val="Beschriftung"/>
                        <w:spacing w:after="0"/>
                        <w:rPr>
                          <w:noProof/>
                          <w:sz w:val="20"/>
                          <w:szCs w:val="20"/>
                        </w:rPr>
                      </w:pPr>
                      <w:r w:rsidRPr="00B958CD">
                        <w:rPr>
                          <w:sz w:val="20"/>
                          <w:szCs w:val="20"/>
                        </w:rPr>
                        <w:t>(© Anne Günther)</w:t>
                      </w:r>
                    </w:p>
                  </w:txbxContent>
                </v:textbox>
                <w10:wrap type="square"/>
              </v:shape>
            </w:pict>
          </mc:Fallback>
        </mc:AlternateContent>
      </w:r>
    </w:p>
    <w:p w:rsidR="00E93509" w:rsidRDefault="00E93509" w:rsidP="00B958CD">
      <w:pPr>
        <w:jc w:val="both"/>
      </w:pPr>
      <w:r w:rsidRPr="00B958CD">
        <w:rPr>
          <w:b/>
          <w:bCs/>
        </w:rPr>
        <w:t>Anika Klafki:</w:t>
      </w:r>
      <w:r>
        <w:t xml:space="preserve"> Rechtlich </w:t>
      </w:r>
      <w:r w:rsidRPr="00B958CD">
        <w:rPr>
          <w:u w:val="single"/>
        </w:rPr>
        <w:t>betrachtet</w:t>
      </w:r>
      <w:r>
        <w:t xml:space="preserve">: nein. In Deutschland gelten derzeit keine </w:t>
      </w:r>
      <w:r w:rsidRPr="00B958CD">
        <w:rPr>
          <w:u w:val="single"/>
        </w:rPr>
        <w:t>verfassungsrechtlichen</w:t>
      </w:r>
      <w:r>
        <w:t xml:space="preserve"> Notstandsregelungen.</w:t>
      </w:r>
    </w:p>
    <w:p w:rsidR="00E93509" w:rsidRDefault="00E93509" w:rsidP="00B958CD">
      <w:pPr>
        <w:jc w:val="both"/>
      </w:pPr>
      <w:r>
        <w:t xml:space="preserve">In anderen Staaten wie zuletzt Ungarn sieht das anders aus. Dort führt die </w:t>
      </w:r>
      <w:r w:rsidRPr="00B958CD">
        <w:rPr>
          <w:u w:val="single"/>
        </w:rPr>
        <w:t>Ausrufung</w:t>
      </w:r>
      <w:r>
        <w:t xml:space="preserve"> eines Notstands dazu, dass bestimmte Entscheidungen direkt durch die Regierung getroffen werden dürfen, statt durch das Parlament. Das soll dem Staat ermöglichen, schnell und flexibel auf Notlagen reagieren zu können.</w:t>
      </w:r>
    </w:p>
    <w:p w:rsidR="00E93509" w:rsidRDefault="00E93509" w:rsidP="00B958CD">
      <w:pPr>
        <w:jc w:val="both"/>
      </w:pPr>
      <w:r>
        <w:t xml:space="preserve">In Deutschland haben wir eine stark </w:t>
      </w:r>
      <w:r w:rsidRPr="00B958CD">
        <w:rPr>
          <w:u w:val="single"/>
        </w:rPr>
        <w:t>zurückgenommene</w:t>
      </w:r>
      <w:r>
        <w:t xml:space="preserve"> Notstandsverfassung. Das liegt an den Erfahrungen aus der Weimarer Republik, als die Notstandsverordnungen am Ende besonders von den Nationalsozialisten </w:t>
      </w:r>
      <w:r w:rsidRPr="00B958CD">
        <w:rPr>
          <w:u w:val="single"/>
        </w:rPr>
        <w:t>missbraucht</w:t>
      </w:r>
      <w:r>
        <w:t xml:space="preserve"> worden sind. In der ursprünglichen Fassung des Grundgesetzes waren deswegen gar keine </w:t>
      </w:r>
      <w:r w:rsidRPr="00B958CD">
        <w:rPr>
          <w:u w:val="single"/>
        </w:rPr>
        <w:t>Notstandsbestimmungen</w:t>
      </w:r>
      <w:r>
        <w:t xml:space="preserve"> vorgesehen. Erst in den 1960er Jahren hat sich das geändert.</w:t>
      </w:r>
    </w:p>
    <w:p w:rsidR="00E93509" w:rsidRDefault="00E93509" w:rsidP="00B958CD">
      <w:pPr>
        <w:jc w:val="both"/>
      </w:pPr>
      <w:r>
        <w:t>[…]</w:t>
      </w:r>
    </w:p>
    <w:p w:rsidR="00E93509" w:rsidRDefault="00B958CD" w:rsidP="00B958CD">
      <w:pPr>
        <w:jc w:val="both"/>
      </w:pPr>
      <w:proofErr w:type="spellStart"/>
      <w:r w:rsidRPr="00B958CD">
        <w:rPr>
          <w:b/>
          <w:bCs/>
        </w:rPr>
        <w:t>bpb</w:t>
      </w:r>
      <w:proofErr w:type="spellEnd"/>
      <w:r>
        <w:rPr>
          <w:b/>
          <w:bCs/>
        </w:rPr>
        <w:t>:</w:t>
      </w:r>
      <w:r>
        <w:t xml:space="preserve"> </w:t>
      </w:r>
      <w:r w:rsidR="00E93509">
        <w:t xml:space="preserve">Auf welcher </w:t>
      </w:r>
      <w:r w:rsidR="00E93509" w:rsidRPr="001D2D89">
        <w:rPr>
          <w:u w:val="single"/>
        </w:rPr>
        <w:t>gesetzlichen Grundlage</w:t>
      </w:r>
      <w:r w:rsidR="00E93509">
        <w:t xml:space="preserve"> geschieht das?</w:t>
      </w:r>
    </w:p>
    <w:p w:rsidR="00E93509" w:rsidRDefault="00B958CD" w:rsidP="00B958CD">
      <w:pPr>
        <w:jc w:val="both"/>
      </w:pPr>
      <w:r w:rsidRPr="00B958CD">
        <w:rPr>
          <w:b/>
          <w:bCs/>
        </w:rPr>
        <w:t>AK:</w:t>
      </w:r>
      <w:r>
        <w:t xml:space="preserve"> </w:t>
      </w:r>
      <w:r w:rsidR="00E93509">
        <w:t xml:space="preserve">All diese Maßnahmen werden auf das Infektionsschutzgesetz (IfSG) gestützt. Dort sind aber viele der jetzt getroffenen Maßnahmen gar nicht so explizit geregelt. Stattdessen stützt man sich auf eine sogenannte </w:t>
      </w:r>
      <w:r w:rsidR="00E93509" w:rsidRPr="001D2D89">
        <w:rPr>
          <w:u w:val="single"/>
        </w:rPr>
        <w:t>Generalklausel</w:t>
      </w:r>
      <w:r w:rsidR="00E93509">
        <w:t xml:space="preserve">, wo es heißt, dass die </w:t>
      </w:r>
      <w:r w:rsidR="00E93509" w:rsidRPr="001D2D89">
        <w:rPr>
          <w:u w:val="single"/>
        </w:rPr>
        <w:t>Behörde</w:t>
      </w:r>
      <w:r w:rsidR="00E93509">
        <w:t xml:space="preserve"> die "notwendigen Maßnahmen" </w:t>
      </w:r>
      <w:r w:rsidR="00E93509" w:rsidRPr="001D2D89">
        <w:rPr>
          <w:u w:val="single"/>
        </w:rPr>
        <w:t>ergreifen</w:t>
      </w:r>
      <w:r w:rsidR="00E93509">
        <w:t xml:space="preserve"> darf.</w:t>
      </w:r>
    </w:p>
    <w:p w:rsidR="00E93509" w:rsidRDefault="00E93509" w:rsidP="00B958CD">
      <w:pPr>
        <w:jc w:val="both"/>
      </w:pPr>
      <w:r>
        <w:t>[…]</w:t>
      </w:r>
    </w:p>
    <w:p w:rsidR="00E93509" w:rsidRDefault="00B958CD" w:rsidP="00B958CD">
      <w:pPr>
        <w:jc w:val="both"/>
      </w:pPr>
      <w:proofErr w:type="spellStart"/>
      <w:r w:rsidRPr="00B958CD">
        <w:rPr>
          <w:b/>
          <w:bCs/>
        </w:rPr>
        <w:t>bpb</w:t>
      </w:r>
      <w:proofErr w:type="spellEnd"/>
      <w:r>
        <w:rPr>
          <w:b/>
          <w:bCs/>
        </w:rPr>
        <w:t>:</w:t>
      </w:r>
      <w:r>
        <w:rPr>
          <w:b/>
          <w:bCs/>
        </w:rPr>
        <w:t xml:space="preserve"> </w:t>
      </w:r>
      <w:r w:rsidR="00E93509">
        <w:t xml:space="preserve">Sind die rechtlichen Grundlagen mit den aktuellen Maßnahmen schon </w:t>
      </w:r>
      <w:r w:rsidR="00E93509" w:rsidRPr="001D2D89">
        <w:rPr>
          <w:u w:val="single"/>
        </w:rPr>
        <w:t>erschöpft</w:t>
      </w:r>
      <w:r w:rsidR="00E93509">
        <w:t>?</w:t>
      </w:r>
    </w:p>
    <w:p w:rsidR="00E93509" w:rsidRDefault="00B958CD" w:rsidP="00B958CD">
      <w:pPr>
        <w:jc w:val="both"/>
      </w:pPr>
      <w:r w:rsidRPr="00B958CD">
        <w:rPr>
          <w:b/>
          <w:bCs/>
        </w:rPr>
        <w:t>AK:</w:t>
      </w:r>
      <w:r>
        <w:t xml:space="preserve"> </w:t>
      </w:r>
      <w:r w:rsidR="00E93509">
        <w:t xml:space="preserve">Aus meiner Sicht sind die rechtlichen Grundlagen juristisch bereits erschöpft, weil das Parlament die Rechtsgrundlagen bisher nicht im ausreichenden Maße </w:t>
      </w:r>
      <w:r w:rsidR="00E93509" w:rsidRPr="001D2D89">
        <w:rPr>
          <w:u w:val="single"/>
        </w:rPr>
        <w:t>erweitert</w:t>
      </w:r>
      <w:r w:rsidR="00E93509">
        <w:t xml:space="preserve"> hat. Andere sind da weniger skeptisch und meinen, besondere Zeiten rechtfertigten – auch ohne nähere rechtliche Spezifikation – besondere Grundrechtseingriffe.</w:t>
      </w:r>
    </w:p>
    <w:p w:rsidR="00B958CD" w:rsidRDefault="00E93509" w:rsidP="00B958CD">
      <w:pPr>
        <w:jc w:val="both"/>
        <w:sectPr w:rsidR="00B958CD" w:rsidSect="00B958CD">
          <w:pgSz w:w="11906" w:h="16838"/>
          <w:pgMar w:top="1418" w:right="1418" w:bottom="1134" w:left="1418" w:header="709" w:footer="709" w:gutter="0"/>
          <w:lnNumType w:countBy="5" w:restart="newSection"/>
          <w:cols w:space="708"/>
          <w:docGrid w:linePitch="360"/>
        </w:sectPr>
      </w:pPr>
      <w:r>
        <w:t xml:space="preserve">Ich kann mir durchaus vorstellen, dass noch strengere Ausgangsbeschränkungen verhängt werden. Solchen Maßnahmen stehe ich aber sehr kritisch gegenüber. Es darf trotz der Corona-Krise kein temporärer Polizeistaat entstehen, in dem man jederzeit auf der Straße polizeilich kontrolliert werden kann. Aus meiner Sicht müsste das Parlament tätig werden, um genau zu definieren, welche Freiheitseingriffe in so einer Krise </w:t>
      </w:r>
      <w:r w:rsidRPr="001D2D89">
        <w:rPr>
          <w:u w:val="single"/>
        </w:rPr>
        <w:t>angeordnet</w:t>
      </w:r>
      <w:r>
        <w:t xml:space="preserve"> werden dürfen, für wie lange sie gelten dürfen – und was zu weit geht.</w:t>
      </w:r>
    </w:p>
    <w:p w:rsidR="00E93509" w:rsidRDefault="00E93509" w:rsidP="00B958CD">
      <w:pPr>
        <w:suppressLineNumbers/>
        <w:jc w:val="right"/>
        <w:rPr>
          <w:sz w:val="16"/>
          <w:szCs w:val="16"/>
          <w:lang w:val="fr-FR"/>
        </w:rPr>
      </w:pPr>
      <w:proofErr w:type="gramStart"/>
      <w:r w:rsidRPr="00E93509">
        <w:rPr>
          <w:sz w:val="16"/>
          <w:szCs w:val="16"/>
          <w:lang w:val="fr-FR"/>
        </w:rPr>
        <w:t>Quelle:</w:t>
      </w:r>
      <w:proofErr w:type="gramEnd"/>
      <w:r w:rsidRPr="00E93509">
        <w:rPr>
          <w:sz w:val="16"/>
          <w:szCs w:val="16"/>
          <w:lang w:val="fr-FR"/>
        </w:rPr>
        <w:t xml:space="preserve"> </w:t>
      </w:r>
      <w:hyperlink r:id="rId5" w:history="1">
        <w:r w:rsidR="0007114D" w:rsidRPr="00736E79">
          <w:rPr>
            <w:rStyle w:val="Hyperlink"/>
            <w:sz w:val="16"/>
            <w:szCs w:val="16"/>
            <w:lang w:val="fr-FR"/>
          </w:rPr>
          <w:t>https://www.bpb.de/politik/innenpolitik/coronavirus/307395/grundrechte</w:t>
        </w:r>
      </w:hyperlink>
    </w:p>
    <w:p w:rsidR="00A61821" w:rsidRDefault="00A61821" w:rsidP="00A61821">
      <w:pPr>
        <w:pStyle w:val="berschrift2"/>
      </w:pPr>
      <w:bookmarkStart w:id="0" w:name="_Hlk40127951"/>
      <w:r>
        <w:lastRenderedPageBreak/>
        <w:t>Vokabel</w:t>
      </w:r>
    </w:p>
    <w:p w:rsidR="0007114D" w:rsidRDefault="0007114D" w:rsidP="00B958CD">
      <w:pPr>
        <w:suppressLineNumbers/>
      </w:pPr>
      <w:r w:rsidRPr="0007114D">
        <w:t xml:space="preserve">gewappnet sein = vorbereitet sein – </w:t>
      </w:r>
      <w:proofErr w:type="spellStart"/>
      <w:r w:rsidRPr="0007114D">
        <w:t>être</w:t>
      </w:r>
      <w:proofErr w:type="spellEnd"/>
      <w:r w:rsidRPr="0007114D">
        <w:t xml:space="preserve"> </w:t>
      </w:r>
      <w:proofErr w:type="spellStart"/>
      <w:r w:rsidRPr="0007114D">
        <w:t>p</w:t>
      </w:r>
      <w:r>
        <w:t>réparé</w:t>
      </w:r>
      <w:proofErr w:type="spellEnd"/>
      <w:r>
        <w:t xml:space="preserve">, </w:t>
      </w:r>
      <w:proofErr w:type="spellStart"/>
      <w:r>
        <w:t>être</w:t>
      </w:r>
      <w:proofErr w:type="spellEnd"/>
      <w:r>
        <w:t xml:space="preserve"> </w:t>
      </w:r>
      <w:proofErr w:type="spellStart"/>
      <w:r>
        <w:t>prêt</w:t>
      </w:r>
      <w:proofErr w:type="spellEnd"/>
    </w:p>
    <w:p w:rsidR="001D2D89" w:rsidRDefault="00B958CD" w:rsidP="00B958CD">
      <w:pPr>
        <w:suppressLineNumbers/>
      </w:pPr>
      <w:r w:rsidRPr="00B61519">
        <w:t xml:space="preserve">der Notstand </w:t>
      </w:r>
      <w:r w:rsidRPr="00B61519">
        <w:rPr>
          <w:rFonts w:cs="Calibri"/>
        </w:rPr>
        <w:t>≈</w:t>
      </w:r>
      <w:r w:rsidRPr="00B61519">
        <w:t xml:space="preserve"> der A</w:t>
      </w:r>
      <w:r>
        <w:t xml:space="preserve">usnahmezustand – </w:t>
      </w:r>
      <w:proofErr w:type="spellStart"/>
      <w:r>
        <w:t>l’état</w:t>
      </w:r>
      <w:proofErr w:type="spellEnd"/>
      <w:r>
        <w:t xml:space="preserve"> </w:t>
      </w:r>
      <w:proofErr w:type="spellStart"/>
      <w:r>
        <w:t>d’urgence</w:t>
      </w:r>
      <w:proofErr w:type="spellEnd"/>
    </w:p>
    <w:p w:rsidR="00B958CD" w:rsidRDefault="00B958CD" w:rsidP="00B958CD">
      <w:pPr>
        <w:suppressLineNumbers/>
      </w:pPr>
      <w:r>
        <w:sym w:font="Wingdings" w:char="F0E0"/>
      </w:r>
      <w:r>
        <w:t xml:space="preserve"> den Notstand ausrufen</w:t>
      </w:r>
      <w:r w:rsidR="001D2D89">
        <w:t>/verhängen</w:t>
      </w:r>
      <w:r>
        <w:t xml:space="preserve"> – </w:t>
      </w:r>
      <w:proofErr w:type="spellStart"/>
      <w:r>
        <w:t>déclarer</w:t>
      </w:r>
      <w:proofErr w:type="spellEnd"/>
      <w:r>
        <w:t xml:space="preserve"> …</w:t>
      </w:r>
    </w:p>
    <w:p w:rsidR="0007114D" w:rsidRDefault="00B958CD" w:rsidP="00B958CD">
      <w:pPr>
        <w:suppressLineNumbers/>
      </w:pPr>
      <w:r>
        <w:t>etw. betrachten = etw. ansehen/anschauen/sehen; hier alternativ: „rechtlich gesehen“</w:t>
      </w:r>
    </w:p>
    <w:p w:rsidR="00B958CD" w:rsidRDefault="00B958CD" w:rsidP="00B958CD">
      <w:pPr>
        <w:suppressLineNumbers/>
      </w:pPr>
      <w:r>
        <w:t xml:space="preserve">die Verfassung (-en) – la </w:t>
      </w:r>
      <w:proofErr w:type="spellStart"/>
      <w:r>
        <w:t>constitution</w:t>
      </w:r>
      <w:proofErr w:type="spellEnd"/>
    </w:p>
    <w:p w:rsidR="00B958CD" w:rsidRDefault="00B958CD" w:rsidP="00B958CD">
      <w:pPr>
        <w:suppressLineNumbers/>
      </w:pPr>
      <w:r w:rsidRPr="00B958CD">
        <w:rPr>
          <w:u w:val="single"/>
        </w:rPr>
        <w:t>zurück</w:t>
      </w:r>
      <w:r>
        <w:t>nehmen (</w:t>
      </w:r>
      <w:proofErr w:type="spellStart"/>
      <w:proofErr w:type="gramStart"/>
      <w:r>
        <w:t>i,a</w:t>
      </w:r>
      <w:proofErr w:type="gramEnd"/>
      <w:r>
        <w:t>,o</w:t>
      </w:r>
      <w:proofErr w:type="spellEnd"/>
      <w:r>
        <w:t>) = reduzieren</w:t>
      </w:r>
    </w:p>
    <w:p w:rsidR="00B958CD" w:rsidRDefault="00B958CD" w:rsidP="00B958CD">
      <w:pPr>
        <w:suppressLineNumbers/>
      </w:pPr>
      <w:r>
        <w:t xml:space="preserve">etw. missbrauchen – </w:t>
      </w:r>
      <w:proofErr w:type="spellStart"/>
      <w:r>
        <w:t>abuser</w:t>
      </w:r>
      <w:proofErr w:type="spellEnd"/>
      <w:r>
        <w:t xml:space="preserve"> de </w:t>
      </w:r>
      <w:proofErr w:type="spellStart"/>
      <w:r>
        <w:t>qc</w:t>
      </w:r>
      <w:proofErr w:type="spellEnd"/>
      <w:r>
        <w:t>.</w:t>
      </w:r>
    </w:p>
    <w:p w:rsidR="00B958CD" w:rsidRDefault="00B958CD" w:rsidP="00B958CD">
      <w:pPr>
        <w:suppressLineNumbers/>
      </w:pPr>
      <w:r>
        <w:t xml:space="preserve">die </w:t>
      </w:r>
      <w:r w:rsidR="001D2D89">
        <w:t xml:space="preserve">(rechtliche) </w:t>
      </w:r>
      <w:r>
        <w:t xml:space="preserve">Bestimmung (-en) </w:t>
      </w:r>
      <w:r w:rsidR="001D2D89">
        <w:t>–</w:t>
      </w:r>
      <w:r>
        <w:t xml:space="preserve"> </w:t>
      </w:r>
      <w:proofErr w:type="spellStart"/>
      <w:r w:rsidR="001D2D89">
        <w:t>les</w:t>
      </w:r>
      <w:proofErr w:type="spellEnd"/>
      <w:r w:rsidR="001D2D89">
        <w:t xml:space="preserve"> </w:t>
      </w:r>
      <w:proofErr w:type="spellStart"/>
      <w:r w:rsidR="001D2D89">
        <w:t>dispositions</w:t>
      </w:r>
      <w:proofErr w:type="spellEnd"/>
      <w:r w:rsidR="001D2D89">
        <w:t xml:space="preserve"> (</w:t>
      </w:r>
      <w:proofErr w:type="spellStart"/>
      <w:r w:rsidR="001D2D89">
        <w:t>légales</w:t>
      </w:r>
      <w:proofErr w:type="spellEnd"/>
      <w:r w:rsidR="001D2D89">
        <w:t>)</w:t>
      </w:r>
    </w:p>
    <w:p w:rsidR="001D2D89" w:rsidRDefault="001D2D89" w:rsidP="00B958CD">
      <w:pPr>
        <w:suppressLineNumbers/>
      </w:pPr>
      <w:r>
        <w:t xml:space="preserve">das Gesetz (-e) – la </w:t>
      </w:r>
      <w:proofErr w:type="spellStart"/>
      <w:r>
        <w:t>loi</w:t>
      </w:r>
      <w:proofErr w:type="spellEnd"/>
    </w:p>
    <w:p w:rsidR="001D2D89" w:rsidRDefault="001D2D89" w:rsidP="00B958CD">
      <w:pPr>
        <w:suppressLineNumbers/>
      </w:pPr>
      <w:r>
        <w:t xml:space="preserve">gesetzlich – </w:t>
      </w:r>
      <w:proofErr w:type="spellStart"/>
      <w:r>
        <w:t>légal</w:t>
      </w:r>
      <w:proofErr w:type="spellEnd"/>
    </w:p>
    <w:p w:rsidR="001D2D89" w:rsidRDefault="001D2D89" w:rsidP="00B958CD">
      <w:pPr>
        <w:suppressLineNumbers/>
      </w:pPr>
      <w:r>
        <w:t>die Grundlage = die Basis</w:t>
      </w:r>
    </w:p>
    <w:p w:rsidR="001D2D89" w:rsidRDefault="001D2D89" w:rsidP="00B958CD">
      <w:pPr>
        <w:suppressLineNumbers/>
      </w:pPr>
      <w:r>
        <w:t xml:space="preserve">die Klausel (-n) – la </w:t>
      </w:r>
      <w:proofErr w:type="spellStart"/>
      <w:r>
        <w:t>clause</w:t>
      </w:r>
      <w:proofErr w:type="spellEnd"/>
    </w:p>
    <w:p w:rsidR="001D2D89" w:rsidRDefault="001D2D89" w:rsidP="001D2D89">
      <w:pPr>
        <w:spacing w:after="120"/>
      </w:pPr>
      <w:r>
        <w:t>die (staatliche) Stelle (-n)</w:t>
      </w:r>
      <w:r w:rsidRPr="00B61519">
        <w:t xml:space="preserve"> </w:t>
      </w:r>
      <w:r w:rsidRPr="00B61519">
        <w:rPr>
          <w:rFonts w:cs="Calibri"/>
        </w:rPr>
        <w:t>≈</w:t>
      </w:r>
      <w:r>
        <w:rPr>
          <w:rFonts w:cs="Calibri"/>
        </w:rPr>
        <w:t xml:space="preserve"> die Behörde (-n) – le </w:t>
      </w:r>
      <w:proofErr w:type="spellStart"/>
      <w:r>
        <w:rPr>
          <w:rFonts w:cs="Calibri"/>
        </w:rPr>
        <w:t>service</w:t>
      </w:r>
      <w:proofErr w:type="spellEnd"/>
      <w:r>
        <w:rPr>
          <w:rFonts w:cs="Calibri"/>
        </w:rPr>
        <w:t xml:space="preserve"> (</w:t>
      </w:r>
      <w:proofErr w:type="spellStart"/>
      <w:r>
        <w:rPr>
          <w:rFonts w:cs="Calibri"/>
        </w:rPr>
        <w:t>public</w:t>
      </w:r>
      <w:proofErr w:type="spellEnd"/>
      <w:r>
        <w:rPr>
          <w:rFonts w:cs="Calibri"/>
        </w:rPr>
        <w:t>)</w:t>
      </w:r>
    </w:p>
    <w:p w:rsidR="001D2D89" w:rsidRDefault="001D2D89" w:rsidP="00B958CD">
      <w:pPr>
        <w:suppressLineNumbers/>
      </w:pPr>
      <w:r>
        <w:t xml:space="preserve">eine Maßnahme ergreifen – </w:t>
      </w:r>
      <w:proofErr w:type="spellStart"/>
      <w:r>
        <w:t>prendre</w:t>
      </w:r>
      <w:proofErr w:type="spellEnd"/>
      <w:r>
        <w:t xml:space="preserve"> </w:t>
      </w:r>
      <w:proofErr w:type="spellStart"/>
      <w:r>
        <w:t>une</w:t>
      </w:r>
      <w:proofErr w:type="spellEnd"/>
      <w:r>
        <w:t xml:space="preserve"> </w:t>
      </w:r>
      <w:proofErr w:type="spellStart"/>
      <w:r>
        <w:t>mesure</w:t>
      </w:r>
      <w:proofErr w:type="spellEnd"/>
    </w:p>
    <w:p w:rsidR="001D2D89" w:rsidRDefault="001D2D89" w:rsidP="00B958CD">
      <w:pPr>
        <w:suppressLineNumbers/>
      </w:pPr>
      <w:r>
        <w:t>erschöpft</w:t>
      </w:r>
      <w:r>
        <w:t xml:space="preserve"> sein – </w:t>
      </w:r>
      <w:proofErr w:type="spellStart"/>
      <w:r>
        <w:t>être</w:t>
      </w:r>
      <w:proofErr w:type="spellEnd"/>
      <w:r>
        <w:t xml:space="preserve"> </w:t>
      </w:r>
      <w:proofErr w:type="spellStart"/>
      <w:r>
        <w:t>épuisé</w:t>
      </w:r>
      <w:proofErr w:type="spellEnd"/>
    </w:p>
    <w:p w:rsidR="001D2D89" w:rsidRDefault="001D2D89" w:rsidP="00B958CD">
      <w:pPr>
        <w:suppressLineNumbers/>
      </w:pPr>
      <w:r>
        <w:t xml:space="preserve">erweitern – </w:t>
      </w:r>
      <w:proofErr w:type="spellStart"/>
      <w:r>
        <w:t>élargir</w:t>
      </w:r>
      <w:proofErr w:type="spellEnd"/>
    </w:p>
    <w:p w:rsidR="001D2D89" w:rsidRDefault="001D2D89" w:rsidP="00B958CD">
      <w:pPr>
        <w:suppressLineNumbers/>
      </w:pPr>
      <w:r>
        <w:t xml:space="preserve">besonders </w:t>
      </w:r>
      <w:r>
        <w:rPr>
          <w:rFonts w:cstheme="minorHAnsi"/>
        </w:rPr>
        <w:t>≈</w:t>
      </w:r>
      <w:r>
        <w:t xml:space="preserve"> speziell – </w:t>
      </w:r>
      <w:proofErr w:type="spellStart"/>
      <w:r>
        <w:t>exceptionnel</w:t>
      </w:r>
      <w:proofErr w:type="spellEnd"/>
    </w:p>
    <w:p w:rsidR="001D2D89" w:rsidRPr="0007114D" w:rsidRDefault="001D2D89" w:rsidP="00B958CD">
      <w:pPr>
        <w:suppressLineNumbers/>
      </w:pPr>
      <w:r>
        <w:t xml:space="preserve">etw. anordnen – </w:t>
      </w:r>
      <w:proofErr w:type="spellStart"/>
      <w:r>
        <w:t>décréter</w:t>
      </w:r>
      <w:bookmarkEnd w:id="0"/>
      <w:proofErr w:type="spellEnd"/>
    </w:p>
    <w:sectPr w:rsidR="001D2D89" w:rsidRPr="0007114D" w:rsidSect="00B958CD">
      <w:type w:val="continuous"/>
      <w:pgSz w:w="11906" w:h="16838"/>
      <w:pgMar w:top="1418" w:right="1418" w:bottom="1134" w:left="1418" w:header="709" w:footer="709" w:gutter="0"/>
      <w:lnNumType w:countBy="5"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09"/>
    <w:rsid w:val="0007114D"/>
    <w:rsid w:val="001D2D89"/>
    <w:rsid w:val="00421671"/>
    <w:rsid w:val="00502789"/>
    <w:rsid w:val="008F1831"/>
    <w:rsid w:val="00A61821"/>
    <w:rsid w:val="00B90BB3"/>
    <w:rsid w:val="00B958CD"/>
    <w:rsid w:val="00E935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42B4"/>
  <w15:chartTrackingRefBased/>
  <w15:docId w15:val="{C567B22B-B493-4BAB-9BBC-72AC68BA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1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711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114D"/>
    <w:rPr>
      <w:color w:val="0563C1" w:themeColor="hyperlink"/>
      <w:u w:val="single"/>
    </w:rPr>
  </w:style>
  <w:style w:type="character" w:styleId="NichtaufgelsteErwhnung">
    <w:name w:val="Unresolved Mention"/>
    <w:basedOn w:val="Absatz-Standardschriftart"/>
    <w:uiPriority w:val="99"/>
    <w:semiHidden/>
    <w:unhideWhenUsed/>
    <w:rsid w:val="0007114D"/>
    <w:rPr>
      <w:color w:val="605E5C"/>
      <w:shd w:val="clear" w:color="auto" w:fill="E1DFDD"/>
    </w:rPr>
  </w:style>
  <w:style w:type="character" w:customStyle="1" w:styleId="berschrift1Zchn">
    <w:name w:val="Überschrift 1 Zchn"/>
    <w:basedOn w:val="Absatz-Standardschriftart"/>
    <w:link w:val="berschrift1"/>
    <w:uiPriority w:val="9"/>
    <w:rsid w:val="0007114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07114D"/>
    <w:rPr>
      <w:rFonts w:asciiTheme="majorHAnsi" w:eastAsiaTheme="majorEastAsia" w:hAnsiTheme="majorHAnsi" w:cstheme="majorBidi"/>
      <w:color w:val="2F5496" w:themeColor="accent1" w:themeShade="BF"/>
      <w:sz w:val="26"/>
      <w:szCs w:val="26"/>
    </w:rPr>
  </w:style>
  <w:style w:type="character" w:styleId="Zeilennummer">
    <w:name w:val="line number"/>
    <w:basedOn w:val="Absatz-Standardschriftart"/>
    <w:uiPriority w:val="99"/>
    <w:semiHidden/>
    <w:unhideWhenUsed/>
    <w:rsid w:val="00B958CD"/>
  </w:style>
  <w:style w:type="paragraph" w:styleId="Beschriftung">
    <w:name w:val="caption"/>
    <w:basedOn w:val="Standard"/>
    <w:next w:val="Standard"/>
    <w:uiPriority w:val="35"/>
    <w:unhideWhenUsed/>
    <w:qFormat/>
    <w:rsid w:val="00B958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18651">
      <w:bodyDiv w:val="1"/>
      <w:marLeft w:val="0"/>
      <w:marRight w:val="0"/>
      <w:marTop w:val="0"/>
      <w:marBottom w:val="0"/>
      <w:divBdr>
        <w:top w:val="none" w:sz="0" w:space="0" w:color="auto"/>
        <w:left w:val="none" w:sz="0" w:space="0" w:color="auto"/>
        <w:bottom w:val="none" w:sz="0" w:space="0" w:color="auto"/>
        <w:right w:val="none" w:sz="0" w:space="0" w:color="auto"/>
      </w:divBdr>
      <w:divsChild>
        <w:div w:id="34964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pb.de/politik/innenpolitik/coronavirus/307395/grundrecht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schurlz</dc:creator>
  <cp:keywords/>
  <dc:description/>
  <cp:lastModifiedBy>schurlz</cp:lastModifiedBy>
  <cp:revision>3</cp:revision>
  <dcterms:created xsi:type="dcterms:W3CDTF">2020-05-11T18:37:00Z</dcterms:created>
  <dcterms:modified xsi:type="dcterms:W3CDTF">2020-05-11T20:21:00Z</dcterms:modified>
</cp:coreProperties>
</file>