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0E1" w:rsidRPr="002F1BFA" w:rsidRDefault="002830E1" w:rsidP="002830E1">
      <w:pPr>
        <w:spacing w:after="0" w:line="240" w:lineRule="auto"/>
        <w:ind w:firstLine="709"/>
        <w:jc w:val="center"/>
        <w:rPr>
          <w:rFonts w:ascii="Times New Roman" w:eastAsia="+mj-ea" w:hAnsi="Times New Roman" w:cs="Times New Roman"/>
          <w:b/>
          <w:bCs/>
          <w:kern w:val="24"/>
          <w:position w:val="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2F1BFA">
        <w:rPr>
          <w:rFonts w:ascii="Times New Roman" w:eastAsia="+mj-ea" w:hAnsi="Times New Roman" w:cs="Times New Roman"/>
          <w:b/>
          <w:bCs/>
          <w:kern w:val="24"/>
          <w:position w:val="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МДОАУ «Детский сад №123 «Гармония» комбинированного вида г. Орска</w:t>
      </w:r>
    </w:p>
    <w:p w:rsidR="002830E1" w:rsidRDefault="002830E1" w:rsidP="002830E1">
      <w:pPr>
        <w:spacing w:after="0" w:line="240" w:lineRule="auto"/>
        <w:ind w:firstLine="709"/>
        <w:jc w:val="center"/>
        <w:rPr>
          <w:rFonts w:ascii="Times New Roman" w:eastAsia="+mj-ea" w:hAnsi="Times New Roman" w:cs="Times New Roman"/>
          <w:b/>
          <w:bCs/>
          <w:color w:val="000000" w:themeColor="text1"/>
          <w:kern w:val="24"/>
          <w:position w:val="1"/>
          <w:sz w:val="28"/>
          <w:szCs w:val="28"/>
          <w14:shadow w14:blurRad="114300" w14:dist="1016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830E1" w:rsidRDefault="002830E1" w:rsidP="002830E1">
      <w:pPr>
        <w:spacing w:after="0" w:line="240" w:lineRule="auto"/>
        <w:ind w:firstLine="709"/>
        <w:jc w:val="center"/>
        <w:rPr>
          <w:rFonts w:ascii="Times New Roman" w:eastAsia="+mj-ea" w:hAnsi="Times New Roman" w:cs="Times New Roman"/>
          <w:b/>
          <w:bCs/>
          <w:color w:val="000000" w:themeColor="text1"/>
          <w:kern w:val="24"/>
          <w:position w:val="1"/>
          <w:sz w:val="28"/>
          <w:szCs w:val="28"/>
          <w14:shadow w14:blurRad="114300" w14:dist="1016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830E1" w:rsidRDefault="002830E1" w:rsidP="002830E1">
      <w:pPr>
        <w:spacing w:after="0" w:line="240" w:lineRule="auto"/>
        <w:ind w:firstLine="709"/>
        <w:jc w:val="center"/>
        <w:rPr>
          <w:rFonts w:ascii="Times New Roman" w:eastAsia="+mj-ea" w:hAnsi="Times New Roman" w:cs="Times New Roman"/>
          <w:b/>
          <w:bCs/>
          <w:color w:val="000000" w:themeColor="text1"/>
          <w:kern w:val="24"/>
          <w:position w:val="1"/>
          <w:sz w:val="28"/>
          <w:szCs w:val="28"/>
          <w14:shadow w14:blurRad="114300" w14:dist="1016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830E1" w:rsidRDefault="002830E1" w:rsidP="002830E1">
      <w:pPr>
        <w:spacing w:after="0" w:line="240" w:lineRule="auto"/>
        <w:ind w:firstLine="709"/>
        <w:jc w:val="center"/>
        <w:rPr>
          <w:rFonts w:ascii="Times New Roman" w:eastAsia="+mj-ea" w:hAnsi="Times New Roman" w:cs="Times New Roman"/>
          <w:b/>
          <w:bCs/>
          <w:color w:val="000000" w:themeColor="text1"/>
          <w:kern w:val="24"/>
          <w:position w:val="1"/>
          <w:sz w:val="28"/>
          <w:szCs w:val="28"/>
          <w14:shadow w14:blurRad="114300" w14:dist="1016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830E1" w:rsidRDefault="002830E1" w:rsidP="002830E1">
      <w:pPr>
        <w:spacing w:after="0" w:line="240" w:lineRule="auto"/>
        <w:ind w:firstLine="709"/>
        <w:jc w:val="center"/>
        <w:rPr>
          <w:rFonts w:ascii="Times New Roman" w:eastAsia="+mj-ea" w:hAnsi="Times New Roman" w:cs="Times New Roman"/>
          <w:b/>
          <w:bCs/>
          <w:color w:val="000000" w:themeColor="text1"/>
          <w:kern w:val="24"/>
          <w:position w:val="1"/>
          <w:sz w:val="28"/>
          <w:szCs w:val="28"/>
          <w14:shadow w14:blurRad="114300" w14:dist="1016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830E1" w:rsidRDefault="002830E1" w:rsidP="002830E1">
      <w:pPr>
        <w:spacing w:after="0" w:line="240" w:lineRule="auto"/>
        <w:ind w:firstLine="709"/>
        <w:jc w:val="center"/>
        <w:rPr>
          <w:rFonts w:ascii="Times New Roman" w:eastAsia="+mj-ea" w:hAnsi="Times New Roman" w:cs="Times New Roman"/>
          <w:b/>
          <w:bCs/>
          <w:color w:val="000000" w:themeColor="text1"/>
          <w:kern w:val="24"/>
          <w:position w:val="1"/>
          <w:sz w:val="28"/>
          <w:szCs w:val="28"/>
          <w14:shadow w14:blurRad="114300" w14:dist="1016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830E1" w:rsidRPr="00CD5FA4" w:rsidRDefault="002830E1" w:rsidP="002830E1">
      <w:pPr>
        <w:spacing w:after="0" w:line="240" w:lineRule="auto"/>
        <w:ind w:firstLine="709"/>
        <w:jc w:val="center"/>
        <w:rPr>
          <w:rFonts w:ascii="Times New Roman" w:eastAsia="+mj-ea" w:hAnsi="Times New Roman" w:cs="Times New Roman"/>
          <w:bCs/>
          <w:color w:val="FF0000"/>
          <w:kern w:val="24"/>
          <w:position w:val="1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CD5FA4">
        <w:rPr>
          <w:rFonts w:ascii="Times New Roman" w:eastAsia="+mj-ea" w:hAnsi="Times New Roman" w:cs="Times New Roman"/>
          <w:bCs/>
          <w:color w:val="FF0000"/>
          <w:kern w:val="24"/>
          <w:position w:val="1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КОНСУЛЬТАЦИЯ ДЛЯ ПЕДАГОГОВ</w:t>
      </w:r>
    </w:p>
    <w:p w:rsidR="002830E1" w:rsidRPr="002F1BFA" w:rsidRDefault="002830E1" w:rsidP="002830E1">
      <w:pPr>
        <w:spacing w:after="0" w:line="240" w:lineRule="auto"/>
        <w:ind w:firstLine="709"/>
        <w:jc w:val="center"/>
        <w:rPr>
          <w:rFonts w:ascii="Times New Roman" w:eastAsia="+mj-ea" w:hAnsi="Times New Roman" w:cs="Times New Roman"/>
          <w:bCs/>
          <w:color w:val="000000" w:themeColor="text1"/>
          <w:kern w:val="24"/>
          <w:position w:val="1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2830E1" w:rsidRDefault="002830E1" w:rsidP="002830E1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03E00"/>
          <w:kern w:val="36"/>
          <w:sz w:val="52"/>
          <w:szCs w:val="52"/>
          <w:lang w:eastAsia="ru-RU"/>
        </w:rPr>
      </w:pPr>
      <w:r w:rsidRPr="002830E1">
        <w:rPr>
          <w:rFonts w:ascii="Times New Roman" w:eastAsia="+mj-ea" w:hAnsi="Times New Roman" w:cs="Times New Roman"/>
          <w:b/>
          <w:bCs/>
          <w:color w:val="FF0000"/>
          <w:kern w:val="24"/>
          <w:position w:val="1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«</w:t>
      </w:r>
      <w:r w:rsidRPr="002830E1">
        <w:rPr>
          <w:rFonts w:ascii="Times New Roman" w:eastAsia="Times New Roman" w:hAnsi="Times New Roman" w:cs="Times New Roman"/>
          <w:b/>
          <w:bCs/>
          <w:color w:val="F03E00"/>
          <w:kern w:val="36"/>
          <w:sz w:val="52"/>
          <w:szCs w:val="52"/>
          <w:lang w:eastAsia="ru-RU"/>
        </w:rPr>
        <w:t xml:space="preserve">Использование нейропсихологических приёмов </w:t>
      </w:r>
    </w:p>
    <w:p w:rsidR="002830E1" w:rsidRDefault="002830E1" w:rsidP="002830E1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03E00"/>
          <w:kern w:val="36"/>
          <w:sz w:val="52"/>
          <w:szCs w:val="52"/>
          <w:lang w:eastAsia="ru-RU"/>
        </w:rPr>
      </w:pPr>
      <w:r w:rsidRPr="002830E1">
        <w:rPr>
          <w:rFonts w:ascii="Times New Roman" w:eastAsia="Times New Roman" w:hAnsi="Times New Roman" w:cs="Times New Roman"/>
          <w:b/>
          <w:bCs/>
          <w:color w:val="F03E00"/>
          <w:kern w:val="36"/>
          <w:sz w:val="52"/>
          <w:szCs w:val="52"/>
          <w:lang w:eastAsia="ru-RU"/>
        </w:rPr>
        <w:t>в коррекционной работе</w:t>
      </w:r>
    </w:p>
    <w:p w:rsidR="002830E1" w:rsidRPr="002830E1" w:rsidRDefault="002830E1" w:rsidP="002830E1">
      <w:pPr>
        <w:spacing w:after="0" w:line="360" w:lineRule="atLeast"/>
        <w:jc w:val="center"/>
        <w:outlineLvl w:val="0"/>
        <w:rPr>
          <w:rFonts w:ascii="Times New Roman" w:eastAsia="+mj-ea" w:hAnsi="Times New Roman" w:cs="Times New Roman"/>
          <w:b/>
          <w:bCs/>
          <w:color w:val="FF0000"/>
          <w:kern w:val="24"/>
          <w:position w:val="1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2830E1">
        <w:rPr>
          <w:rFonts w:ascii="Times New Roman" w:eastAsia="Times New Roman" w:hAnsi="Times New Roman" w:cs="Times New Roman"/>
          <w:b/>
          <w:bCs/>
          <w:color w:val="F03E00"/>
          <w:kern w:val="36"/>
          <w:sz w:val="52"/>
          <w:szCs w:val="52"/>
          <w:lang w:eastAsia="ru-RU"/>
        </w:rPr>
        <w:t xml:space="preserve"> с детьми со статусом ОВЗ</w:t>
      </w:r>
      <w:r>
        <w:rPr>
          <w:rFonts w:ascii="Times New Roman" w:eastAsia="+mj-ea" w:hAnsi="Times New Roman" w:cs="Times New Roman"/>
          <w:b/>
          <w:bCs/>
          <w:color w:val="FF0000"/>
          <w:kern w:val="24"/>
          <w:position w:val="1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»</w:t>
      </w:r>
    </w:p>
    <w:p w:rsidR="002830E1" w:rsidRDefault="002830E1" w:rsidP="002830E1">
      <w:pPr>
        <w:spacing w:after="0" w:line="240" w:lineRule="auto"/>
        <w:ind w:firstLine="709"/>
        <w:jc w:val="center"/>
        <w:rPr>
          <w:rFonts w:ascii="Times New Roman" w:eastAsia="+mj-ea" w:hAnsi="Times New Roman" w:cs="Times New Roman"/>
          <w:b/>
          <w:bCs/>
          <w:color w:val="000000" w:themeColor="text1"/>
          <w:kern w:val="24"/>
          <w:position w:val="1"/>
          <w:sz w:val="28"/>
          <w:szCs w:val="28"/>
          <w14:shadow w14:blurRad="114300" w14:dist="1016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830E1" w:rsidRDefault="002830E1" w:rsidP="002830E1">
      <w:pPr>
        <w:spacing w:after="0" w:line="240" w:lineRule="auto"/>
        <w:ind w:firstLine="709"/>
        <w:jc w:val="right"/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2830E1" w:rsidRDefault="002830E1" w:rsidP="002830E1">
      <w:pPr>
        <w:spacing w:after="0" w:line="240" w:lineRule="auto"/>
        <w:ind w:firstLine="709"/>
        <w:jc w:val="right"/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2830E1" w:rsidRDefault="002830E1" w:rsidP="002830E1">
      <w:pPr>
        <w:spacing w:after="0" w:line="240" w:lineRule="auto"/>
        <w:ind w:firstLine="709"/>
        <w:jc w:val="right"/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2830E1" w:rsidRDefault="002830E1" w:rsidP="002830E1">
      <w:pPr>
        <w:spacing w:after="0" w:line="240" w:lineRule="auto"/>
        <w:ind w:firstLine="709"/>
        <w:jc w:val="right"/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2830E1" w:rsidRDefault="002830E1" w:rsidP="002830E1">
      <w:pPr>
        <w:spacing w:after="0" w:line="240" w:lineRule="auto"/>
        <w:ind w:firstLine="709"/>
        <w:jc w:val="right"/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2830E1" w:rsidRDefault="002830E1" w:rsidP="002830E1">
      <w:pPr>
        <w:spacing w:after="0" w:line="240" w:lineRule="auto"/>
        <w:ind w:firstLine="709"/>
        <w:jc w:val="right"/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2830E1" w:rsidRDefault="002830E1" w:rsidP="002830E1">
      <w:pPr>
        <w:spacing w:after="0" w:line="240" w:lineRule="auto"/>
        <w:ind w:firstLine="709"/>
        <w:jc w:val="right"/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2830E1" w:rsidRDefault="002830E1" w:rsidP="002830E1">
      <w:pPr>
        <w:spacing w:after="0" w:line="240" w:lineRule="auto"/>
        <w:ind w:firstLine="709"/>
        <w:jc w:val="right"/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2830E1" w:rsidRDefault="002830E1" w:rsidP="002830E1">
      <w:pPr>
        <w:spacing w:after="0" w:line="240" w:lineRule="auto"/>
        <w:ind w:firstLine="709"/>
        <w:jc w:val="right"/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2830E1" w:rsidRDefault="002830E1" w:rsidP="002830E1">
      <w:pPr>
        <w:spacing w:after="0" w:line="240" w:lineRule="auto"/>
        <w:ind w:firstLine="709"/>
        <w:jc w:val="right"/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Подготовила: Курганова М. Ю.</w:t>
      </w:r>
    </w:p>
    <w:p w:rsidR="002830E1" w:rsidRDefault="002830E1" w:rsidP="002830E1">
      <w:pPr>
        <w:spacing w:after="0" w:line="240" w:lineRule="auto"/>
        <w:ind w:firstLine="709"/>
        <w:jc w:val="right"/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2830E1" w:rsidRDefault="002830E1" w:rsidP="002830E1">
      <w:pPr>
        <w:spacing w:after="0" w:line="240" w:lineRule="auto"/>
        <w:ind w:firstLine="709"/>
        <w:jc w:val="right"/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2830E1" w:rsidRDefault="002830E1" w:rsidP="002830E1">
      <w:pPr>
        <w:spacing w:after="0" w:line="240" w:lineRule="auto"/>
        <w:ind w:firstLine="709"/>
        <w:jc w:val="right"/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2830E1" w:rsidRDefault="002830E1" w:rsidP="002830E1">
      <w:pPr>
        <w:spacing w:after="0" w:line="240" w:lineRule="auto"/>
        <w:ind w:firstLine="709"/>
        <w:jc w:val="right"/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2830E1" w:rsidRDefault="002830E1" w:rsidP="002830E1">
      <w:pPr>
        <w:spacing w:after="0" w:line="240" w:lineRule="auto"/>
        <w:ind w:firstLine="709"/>
        <w:jc w:val="right"/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2830E1" w:rsidRDefault="002830E1" w:rsidP="002830E1">
      <w:pPr>
        <w:spacing w:after="0" w:line="240" w:lineRule="auto"/>
        <w:ind w:firstLine="709"/>
        <w:jc w:val="right"/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2830E1" w:rsidRDefault="002830E1" w:rsidP="002830E1">
      <w:pPr>
        <w:spacing w:after="0" w:line="240" w:lineRule="auto"/>
        <w:ind w:firstLine="709"/>
        <w:jc w:val="right"/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2830E1" w:rsidRDefault="002830E1" w:rsidP="002830E1">
      <w:pPr>
        <w:spacing w:after="0" w:line="240" w:lineRule="auto"/>
        <w:ind w:firstLine="709"/>
        <w:jc w:val="right"/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2830E1" w:rsidRDefault="002830E1" w:rsidP="002830E1">
      <w:pPr>
        <w:spacing w:after="0" w:line="240" w:lineRule="auto"/>
        <w:ind w:firstLine="709"/>
        <w:jc w:val="right"/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2830E1" w:rsidRDefault="002830E1" w:rsidP="002830E1">
      <w:pPr>
        <w:spacing w:after="0" w:line="240" w:lineRule="auto"/>
        <w:ind w:firstLine="709"/>
        <w:jc w:val="center"/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г</w:t>
      </w:r>
      <w:proofErr w:type="gramStart"/>
      <w:r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.О</w:t>
      </w:r>
      <w:bookmarkStart w:id="0" w:name="_GoBack"/>
      <w:bookmarkEnd w:id="0"/>
      <w:proofErr w:type="gramEnd"/>
      <w:r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рск</w:t>
      </w:r>
      <w:proofErr w:type="spellEnd"/>
    </w:p>
    <w:p w:rsidR="002830E1" w:rsidRPr="00CD5FA4" w:rsidRDefault="002830E1" w:rsidP="002830E1">
      <w:pPr>
        <w:spacing w:after="0" w:line="240" w:lineRule="auto"/>
        <w:ind w:firstLine="709"/>
        <w:jc w:val="right"/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 каждым годом увеличивается количество детей в дошкольных организациях с различными нарушениями развития, которые нуждаются в специализированной помощи. Но не всегда есть возможность оказать такую помощь ребёнку, привлечь к работе, например, дефектолога. Вся нагрузка ложится на обычных педагогов дошкольных учреждений – воспитателей, музыкального руководителя, инструктора по физической культуре, педагога – психолога.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Применение педагогами системы упражнений с </w:t>
      </w:r>
      <w:proofErr w:type="spellStart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нейрокоррекционным</w:t>
      </w:r>
      <w:proofErr w:type="spellEnd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воздействием, о которых сегодня делюсь опытом, может оказать положительное воздействие на сформированность мозговых процессов детей, при условии правильной организации этой технологии. Такой подход поспособствует достижению возрастных нормативов в общем развитии и, в частности, речевом.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Почему применяю именно нейропсихологию?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Эффективность нейропсихологического (психомоторного) подхода доказана наукой и практикой. Он является </w:t>
      </w:r>
      <w:proofErr w:type="spellStart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игровой технологией. Нейропсихологический подход предполагает коррекцию нарушенных психических процессов (внимания, памяти, мышления, речи и др.), эмоционально-волевой сферы ребёнка через движение. Многие исследователи указывают на взаимосвязь психического и моторного развития ребенка. Александр Романович </w:t>
      </w:r>
      <w:proofErr w:type="spellStart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Лурия</w:t>
      </w:r>
      <w:proofErr w:type="spellEnd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отмечал, что высшие психические функции возникают на основе относительно элементарных моторных и сенсорных процессов. Например, развивая телесную моторику в подвижных играх, танцах, на занятиях ритмики, при игре на музыкальных инструментах, создаются предпосылки для становления таких процессов как речь и мышление. Отечественная нейропсихология базируется на принципах, разработанных классиками психологии – Л. С. Выготским, А. Р. </w:t>
      </w:r>
      <w:proofErr w:type="spellStart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Лурией</w:t>
      </w:r>
      <w:proofErr w:type="spellEnd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 С. Цветковой, А. В. Семенович, А. Л. Сиротюк, А. Н. Леонтьевым, А. В. Запорожцем, Л. А. </w:t>
      </w:r>
      <w:proofErr w:type="spellStart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Венгер</w:t>
      </w:r>
      <w:proofErr w:type="spellEnd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Д. Б. </w:t>
      </w:r>
      <w:proofErr w:type="spellStart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Элькониным</w:t>
      </w:r>
      <w:proofErr w:type="spellEnd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Своё знакомство с теоретическим и практическим опытом в области нейропсихологии начала с 2001 года, работая педагогом - психологом в ДОУ.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Изучала новую информацию путём саморазвития: читала публикации, книги, просматривала обучающие видео, </w:t>
      </w:r>
      <w:proofErr w:type="spellStart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вебинары</w:t>
      </w:r>
      <w:proofErr w:type="spellEnd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целью повысить свои профессиональные навыки.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Работая воспитателем с детьми с особыми образовательными потребностями, решила применять полученные знания в профессиональной деятельности.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в 2017 году ещё и прошла переподготовку в </w:t>
      </w:r>
      <w:proofErr w:type="spellStart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НИПКиПРО</w:t>
      </w:r>
      <w:proofErr w:type="spellEnd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программе «Дошкольная дефектология», где читалась дисциплина «Психомоторная коррекция в работе с детьми с ОВЗ».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Провела следующую работу: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Повысила свою компетентность в вопросах </w:t>
      </w:r>
      <w:proofErr w:type="spellStart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нейрокоррекционного</w:t>
      </w:r>
      <w:proofErr w:type="spellEnd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воздействия по методике А. В. Семенович «Нейропсихологическая коррекция в детском возрасте», технологии «Психомоторная коррекция в системе комплексной реабилитации детей с задержкой психического развития» из книги Конева Е.А., </w:t>
      </w:r>
      <w:proofErr w:type="spellStart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Рудаметова</w:t>
      </w:r>
      <w:proofErr w:type="spellEnd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Н.А. «Психомоторная коррекция в системе комплексной реабилитации детей со специальными образовательными потребностями». – Новосибирск, 2008 (научный редактор Г. М. </w:t>
      </w:r>
      <w:proofErr w:type="spellStart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Вартапетова</w:t>
      </w:r>
      <w:proofErr w:type="spellEnd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Подобрала системы упражнений с </w:t>
      </w:r>
      <w:proofErr w:type="spellStart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нейрокоррекционным</w:t>
      </w:r>
      <w:proofErr w:type="spellEnd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воздействием.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Ежедневно отводила время в работе с детьми на выполнение упражнений с последующим их усложнением.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 Привлекла специалиста – руководителя изостудии – включение двуручного рисования.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Поддерживала взаимосвязь с учителем – логопедом, которая также применяла с детьми упражнения в своей практике.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Вовлекла родителей (качественное выполнение упражнений с ребенком дома по рекомендациям воспитателя).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Удалось добиться следующих результатов: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Дети включаются в деятельность более активно, они начали лучше воспринимать информацию.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У детей стало преобладать произвольное внимание </w:t>
      </w:r>
      <w:proofErr w:type="gramStart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</w:t>
      </w:r>
      <w:proofErr w:type="gramEnd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непроизвольным.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Качество двигательных навыков стало значительно выше, трудности переключения с одного вида движения на другое заметно сократились.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В режимных моментах и при выполнении какого-либо задания дети начали удерживать алгоритм последовательности действий.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На занятиях по продуктивным видам деятельности детям удается доводить начатое дело до конца, получая результат своей работы.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Уровень развития коммуникации и речевой деятельности возрос.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Выполнение упражнений доставляет детям удовольствие, заряжает их энергией и позитивом, повысилась работоспособность.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Улучшилась внешняя социализация и коммуникация детей (дети с радостью делились новыми навыками со сверстниками, демонстрируя свои новые умения), повысилась их самооценка.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Повысилась мотивация родителей для участия в образовательной деятельности ДОУ.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Составляющие компоненты психомоторного развития, используемые мною в работе: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Развитие мелкой моторики.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Глазодвигательные упражнения.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Помогают расширить объём зрительного восприятия и влияют на функции речи, внимания и памяти. Тонизируют мышцы, управляющие движением глаз, активизируют кровообращение, снижают умственное утомление.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 </w:t>
      </w:r>
      <w:r w:rsidRPr="00D67F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«Глаз – путешественник».</w:t>
      </w: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Развесить в разных углах и по группе различные рисунки игрушек, животных и т.д. Исходное положение – стоя. Не поворачивая головы найти глазами тот или иной предмет, названный учителем.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Упражнения для развития артикуляции.</w:t>
      </w: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Большая часть моторной коры мозга участвует в мышечных движениях полости рта - артикуляция её активизирует.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Упражнения на развитие межполушарного взаимодействия.</w:t>
      </w: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упражнения «Лягушка», «Кулак, ребро, ладонь», «Колечки», «Лезгинка», самомассаж ушных раковин, перекрестная ходьба, горизонтальная восьмерка, зеркальное рисование и другие.</w:t>
      </w:r>
      <w:proofErr w:type="gramEnd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Развиваются межполушарные связи, улучшается память и концентрация внимания, интегративная функция мозга.</w:t>
      </w:r>
    </w:p>
    <w:p w:rsidR="00D67F70" w:rsidRPr="00D67F70" w:rsidRDefault="00D67F70" w:rsidP="00D67F70">
      <w:pPr>
        <w:spacing w:before="120" w:after="120" w:line="240" w:lineRule="auto"/>
        <w:ind w:firstLine="5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noProof/>
          <w:color w:val="560000"/>
          <w:sz w:val="24"/>
          <w:szCs w:val="24"/>
          <w:lang w:eastAsia="ru-RU"/>
        </w:rPr>
        <w:lastRenderedPageBreak/>
        <w:drawing>
          <wp:inline distT="0" distB="0" distL="0" distR="0" wp14:anchorId="21749852" wp14:editId="110451F7">
            <wp:extent cx="1686560" cy="1264920"/>
            <wp:effectExtent l="0" t="0" r="8890" b="0"/>
            <wp:docPr id="1" name="Рисунок 1" descr="http://io.nios.ru/sites/io.nios.ru/files/styles/fotostatija/public/images/2018/02/kolechki.jpg?itok=OG-TL_Uz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o.nios.ru/sites/io.nios.ru/files/styles/fotostatija/public/images/2018/02/kolechki.jpg?itok=OG-TL_Uz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Дыхательные упражнения.</w:t>
      </w: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Развивают умение произвольно контролировать свое дыхание, самоконтроль над поведением, эмоциями, речью, движениями.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Растяжки. </w:t>
      </w:r>
      <w:proofErr w:type="gramStart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Направлены</w:t>
      </w:r>
      <w:proofErr w:type="gramEnd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нормализацию тонуса мышц. Выполнение растяжек способствует преодолению у детей </w:t>
      </w:r>
      <w:proofErr w:type="spellStart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гипотонуса</w:t>
      </w:r>
      <w:proofErr w:type="spellEnd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мышц (вялость), зажимов и </w:t>
      </w:r>
      <w:proofErr w:type="spellStart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гипертонуса</w:t>
      </w:r>
      <w:proofErr w:type="spellEnd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повышенного двигательного беспокойства.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 </w:t>
      </w:r>
      <w:r w:rsidRPr="00D67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растяжка «Сова». </w:t>
      </w: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Помогает расслабить мышцы шеи, спины, снять напряжение, возникшее при длительном напряжении в статичной позе. Благодаря этому восстанавливается кровообращение, нормализуется приток крови к головному мозгу. Это активизирует навыки внимания, памяти, чтения. С помощью «уханья» освобождаются челюстные зажимы, что способствует совершенствованию навыков внутренней речи, мышлению, и как следствие, более плавной и связной речи. Можно выполнять сидя и стоя.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Правой рукой захватите мышцу посередине левого плеча (надкостную мышцу).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Поверните голову немного влево, к руке, которая сжимает мышцу. Одновременно выполняйте следующие движения: рука сжимает мышцу, шея вытягивается немного вперед, подбородок выпячивается, глаза расширяются, губы сворачиваются трубочкой и произносят звук «УХ».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Возвращаемся в исходное положение: рука опускает мышцу, шея и глаза занимают свое исходное положение, губы расслабляются.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Выполняйте упражнения, чередуя пункты 2 и 3. С каждым «УХ» перемещайте голову по направлению от плеча, которое сжимает рука, к другому плечу (5-6 «УХ» в одну сторону).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Делайте упражнение по ощущениям, сколько считаете нужным.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Поменяйте руку и повторите то же самое.</w:t>
      </w:r>
    </w:p>
    <w:p w:rsidR="00D67F70" w:rsidRPr="00D67F70" w:rsidRDefault="00D67F70" w:rsidP="00D67F70">
      <w:pPr>
        <w:spacing w:before="120" w:after="120" w:line="240" w:lineRule="auto"/>
        <w:ind w:firstLine="5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noProof/>
          <w:color w:val="560000"/>
          <w:sz w:val="24"/>
          <w:szCs w:val="24"/>
          <w:lang w:eastAsia="ru-RU"/>
        </w:rPr>
        <w:drawing>
          <wp:inline distT="0" distB="0" distL="0" distR="0" wp14:anchorId="6DC931D7" wp14:editId="5A89FF63">
            <wp:extent cx="2012156" cy="1287780"/>
            <wp:effectExtent l="0" t="0" r="7620" b="7620"/>
            <wp:docPr id="2" name="Рисунок 2" descr="http://io.nios.ru/sites/io.nios.ru/files/styles/fotostatija/public/images/2018/02/lezginka.jpg?itok=mnOXbAP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o.nios.ru/sites/io.nios.ru/files/styles/fotostatija/public/images/2018/02/lezginka.jpg?itok=mnOXbAP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156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Функциональные упражнения </w:t>
      </w: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это упражнения, направленные на развитие определённых когнитивных функций (памяти, внимания, и др.), развитие </w:t>
      </w:r>
      <w:proofErr w:type="spellStart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Примеры функциональных упражнений.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«Черепаха». Цель: развитие двигательного контроля. Инструктор встает у одной стены помещения, играющие — у другой. По сигналу инструктора дети начинают медленное движение к противоположной стене, изображая маленьких черепашек. Никто не должен останавливаться и спешить. Через 2-3 минуты инструктор подает сигнал, по которому все участники останавливаются. Побеждает тот, кто оказался самым последним. </w:t>
      </w: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Упражнение может повторяться несколько раз. Затем инструктор обсуждает с группой трудности в выполнении упражнения.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«Руки-ноги». Цель: развитие концентрации внимания и двигательного контроля, погашение импульсивности, развитие навыков удержания программы. И. п. – стоя.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Прыжки на месте с одновременными движениями руками и ногами. Ноги вместе – руки врозь. Ноги врозь – руки вместе. Ноги вместе – руки вместе. Ноги врозь – руки врозь.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 прыжков повторить несколько раз.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Функциональное упражнение «Колпак мой треугольный» (старинная игра). Цель: развитие концентрации внимания и двигательного контроля, погашение импульсивности.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Участники садятся в круг. Все по очереди, начиная с ведущего, произносят по одному слову из фразы: «Колпак мой треугольный, треугольный мой колпак. А если не треугольный, то это не мой колпак». Затем фраза повторяется, но дети, которым выпадает говорить слово «колпак», заменяющего жестом (легкий хлопок ладошкой по голове); затем фраза повторяется еще раз, но при этом на жесты заменяются два слова: слово «колпак» (легкий хлопок ладошкой по голове) и «мой» (показать рукой на себя). При повторении фразы в третий раз </w:t>
      </w:r>
      <w:proofErr w:type="gramStart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заменяются на жесты</w:t>
      </w:r>
      <w:proofErr w:type="gramEnd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три слова: «колпак», «мой» и «треугольный» (изображение треугольника руками).</w:t>
      </w:r>
    </w:p>
    <w:p w:rsidR="00D67F70" w:rsidRPr="00D67F70" w:rsidRDefault="00D67F70" w:rsidP="00D67F70">
      <w:pPr>
        <w:spacing w:before="120" w:after="120" w:line="240" w:lineRule="auto"/>
        <w:ind w:firstLine="5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noProof/>
          <w:color w:val="560000"/>
          <w:sz w:val="24"/>
          <w:szCs w:val="24"/>
          <w:lang w:eastAsia="ru-RU"/>
        </w:rPr>
        <w:drawing>
          <wp:inline distT="0" distB="0" distL="0" distR="0" wp14:anchorId="7B176396" wp14:editId="4B545D8A">
            <wp:extent cx="1874520" cy="1405890"/>
            <wp:effectExtent l="0" t="0" r="0" b="3810"/>
            <wp:docPr id="3" name="Рисунок 3" descr="http://io.nios.ru/sites/io.nios.ru/files/styles/fotostatija/public/images/2018/02/uho-nos.jpg?itok=XBhZcmiR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o.nios.ru/sites/io.nios.ru/files/styles/fotostatija/public/images/2018/02/uho-nos.jpg?itok=XBhZcmiR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40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Коммуникативные упражнения </w:t>
      </w: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направлены на развитие общения между детьми. Парные и групповые упражнения формируют навыки совместных действий, </w:t>
      </w:r>
      <w:proofErr w:type="gramStart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способствуя лучшему пониманию друг друга</w:t>
      </w:r>
      <w:proofErr w:type="gramEnd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 коммуникативных упражнений.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«Тачка». Дети разбиваются на пары. Один из партнеров принимает «</w:t>
      </w:r>
      <w:proofErr w:type="gramStart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упор</w:t>
      </w:r>
      <w:proofErr w:type="gramEnd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лежа», другой берет его за ноги и приподнимает. Первый начинает движение на руках, второй идет за ним, поддерживая его ноги и учитывая скорость движения.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«Сороконожка». Цель: развитие навыков взаимодействия со сверстниками. Участники группы встают друг за другом, держась за талию впереди </w:t>
      </w:r>
      <w:proofErr w:type="gramStart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стоящего</w:t>
      </w:r>
      <w:proofErr w:type="gramEnd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команде инструктора «Сороконожка» начинает двигаться вперед, затем приседает, прыгает на одной ножке, проползает между препятствиями и т.д. Главная задача участников — не разорвать цепочку и сохранить «Сороконожку».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Упражнение с правилами «Животные». Дети встают в круг. Инструктор каждому участнику шепотом на ушко говорит название какого-либо животного: собака, корова, кошка и </w:t>
      </w:r>
      <w:proofErr w:type="spellStart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Start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spellEnd"/>
      <w:proofErr w:type="gramEnd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Название животного держится в секрете. Дети закрывают глаза и «превращаются» в это животное, издавая соответствующие звуки: гав-гав, </w:t>
      </w:r>
      <w:proofErr w:type="spellStart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му-му</w:t>
      </w:r>
      <w:proofErr w:type="spellEnd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мяу-мяу и т.д. Дети должны медленно передвигаться по комнате и прислушиваться к голосам всех «животных», объединяясь в родственные группы. Нашедшие друг друга «собаки», «коровы», «кошки» берутся за руки и передвигаются вместе. Во время выполнения упражнения глаза должны оставаться закрытыми.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9. Упражнения для релаксации.</w:t>
      </w: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Проводятся в конце занятия с целью интеграции приобретенного опыта. Они способствуют расслаблению, самонаблюдению, воспоминаниям событий и ощущений и являются единым процессом.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упражнения использовались как в совокупности и представляли собой комплекс психомоторной гимнастики (имели чёткую структуру с ритуалом начала занятия, релаксацией, ритуалом окончания), так и выступали элементом непосредственной образовательной деятельности, применялись в режимных моментах.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зарядка или утренняя совместная деятельность (5-7 мин.) – </w:t>
      </w:r>
      <w:proofErr w:type="spellStart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ползательные</w:t>
      </w:r>
      <w:proofErr w:type="spellEnd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дыхательные, пространственные упражнения, растяжки;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proofErr w:type="spellStart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физминутка</w:t>
      </w:r>
      <w:proofErr w:type="spellEnd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(во время занятия, 1-2 мин.) – глазодвигательные упражнения, или на развитие межполушарного взаимодействия;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игры на свежем воздухе (лето до 20 минут, зима – 10 минут) – пространственные упражнения, коммуникативные и игры на регуляцию движения;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пробуждение (2-3 минуты) – дыхательные упражнения, растяжка.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 как немедленный, так и накапливающийся эффект для повышения умственной работоспособности и оптимизации интеллектуальных процессов.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данного метода позволяет: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Улучшить у детей память, внимание, речь, пространственные представления, мелкую и крупную моторику, снизить утомляемость, повысить работоспособность к произвольному контролю.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результативности коррекционно-развивающей работы необходимо учитывать определённые условия: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проводятся по 10-15 минут.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проводятся ежедневно, без пропусков.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проводятся в доброжелательной обстановке.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детей требуется точное выполнение движений и приёмов.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проводятся стоя и сидя за столом.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обязан сначала сам освоить все упражнения до уровня осознания субъективных признаков изменений, после этого обучать дошкольников.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Рекомендую коллегам освоить этот метод коррекции и внедрять его в работе с детьми.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Есть ограничения. </w:t>
      </w: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эпилептической готовностью, дети с психиатрическими проблемами, генетическими синдромами, сердечной недостаточностью, астмой нуждаются в сопровождении врача.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используемой литературы: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Горячева Т.Г., Султанова А.С. Сенсомоторная коррекция при нарушениях психического развития в детском возрасте. Москва, 1999.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Деннисон</w:t>
      </w:r>
      <w:proofErr w:type="spellEnd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П.И., </w:t>
      </w:r>
      <w:proofErr w:type="spellStart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Деннисон</w:t>
      </w:r>
      <w:proofErr w:type="spellEnd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Г.И. </w:t>
      </w:r>
      <w:proofErr w:type="gramStart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</w:t>
      </w:r>
      <w:proofErr w:type="gramEnd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кинестетика</w:t>
      </w:r>
      <w:proofErr w:type="spellEnd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детей: Базовое пособие по </w:t>
      </w:r>
      <w:proofErr w:type="gramStart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proofErr w:type="gramEnd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Кинесиологии</w:t>
      </w:r>
      <w:proofErr w:type="spellEnd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родителей и педагогов, воспитывающих детей разного возраста: Пер. с англ. М.: Восхождение, 1998.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Клюева Н.В., Касаткина Ю.В. Учим детей общению. Популярное пособие для родителей и педагогов. – Ярославль: Академия развития, 1997.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4. Конева Е. А., </w:t>
      </w:r>
      <w:proofErr w:type="spellStart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Рудаметова</w:t>
      </w:r>
      <w:proofErr w:type="spellEnd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А. Психомоторная коррекция в системе комплексной реабилитации детей со специальными образовательными потреб</w:t>
      </w: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ностями. – Новосибирск, 2008.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Лютова Е.К., Монина. Тренинг эффективного взаимодействия с детьми. – СПб</w:t>
      </w:r>
      <w:proofErr w:type="gramStart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gramEnd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2005.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Семенович А.В. Введение в нейропсихологию детского возраста. – М.: Генезис, 2005.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Семенович А.В. Нейропсихологическая диагностика и коррекция в детском возрасте. – М.: Академия, 2002.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Семенович А.В. Нейропсихологическая коррекция в детском возрасте. Метод замещающего онтогенеза: Учебное пособие. – М.: Генезис, 2010.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 Сиротюк А.Л. Упражнения для психомоторного развития дошкольников: Практическое пособие. – М.: </w:t>
      </w:r>
      <w:proofErr w:type="spellStart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Аркти</w:t>
      </w:r>
      <w:proofErr w:type="spellEnd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2009.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Сиротюк А. Л. Нейропсихологическое и психофизиологическое сопровождение обучения. — М.: ТЦ Сфера, 2003.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Хомская Е.Д. Нейропсихология. – СПб</w:t>
      </w:r>
      <w:proofErr w:type="gramStart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Питер, 2007.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 Программа нейропсихологического развития и коррекции детей с синдромом дефицита внимания и </w:t>
      </w:r>
      <w:proofErr w:type="spellStart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гиперактивности</w:t>
      </w:r>
      <w:proofErr w:type="spellEnd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/ Составитель А. Л. Сиротюк, А. С. Сиротюк.</w:t>
      </w:r>
    </w:p>
    <w:p w:rsidR="00D67F70" w:rsidRPr="00D67F70" w:rsidRDefault="00D67F70" w:rsidP="00D67F70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 Программа «Применение основ </w:t>
      </w:r>
      <w:proofErr w:type="spellStart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нейрокоррекции</w:t>
      </w:r>
      <w:proofErr w:type="spellEnd"/>
      <w:r w:rsidRPr="00D6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работе педагога дошкольного учреждения». Сборник материалов для педагогов дошкольного образования под редакцией и научным руководством Тихомировой Е. А., кандидата психологических наук. Образовательный проект «Международной Школы Лидерства для Молодежи».</w:t>
      </w:r>
    </w:p>
    <w:p w:rsidR="00D67F70" w:rsidRPr="00D67F70" w:rsidRDefault="00D67F70" w:rsidP="00D67F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7F70">
        <w:rPr>
          <w:rFonts w:ascii="Times New Roman" w:hAnsi="Times New Roman" w:cs="Times New Roman"/>
          <w:b/>
          <w:sz w:val="24"/>
          <w:szCs w:val="24"/>
        </w:rPr>
        <w:t>Электронная газета «Интерактивное образование»</w:t>
      </w:r>
    </w:p>
    <w:p w:rsidR="005A15A6" w:rsidRPr="00D67F70" w:rsidRDefault="00D67F70">
      <w:pPr>
        <w:rPr>
          <w:rFonts w:ascii="Times New Roman" w:hAnsi="Times New Roman" w:cs="Times New Roman"/>
          <w:b/>
        </w:rPr>
      </w:pPr>
      <w:r w:rsidRPr="00D67F70">
        <w:rPr>
          <w:rFonts w:ascii="Times New Roman" w:hAnsi="Times New Roman" w:cs="Times New Roman"/>
          <w:b/>
        </w:rPr>
        <w:t>http://io.nios.ru/articles2/94/10/ispolzovanie-neyropsihologicheskih-priyomov-v-korrekcionnoy-rabote-s-detmi-so</w:t>
      </w:r>
    </w:p>
    <w:sectPr w:rsidR="005A15A6" w:rsidRPr="00D67F70" w:rsidSect="002830E1">
      <w:pgSz w:w="11906" w:h="16838"/>
      <w:pgMar w:top="1134" w:right="850" w:bottom="1134" w:left="1701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EB3"/>
    <w:rsid w:val="002830E1"/>
    <w:rsid w:val="00323EB3"/>
    <w:rsid w:val="005A15A6"/>
    <w:rsid w:val="00D6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F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F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9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io.nios.ru/sites/io.nios.ru/files/images/2018/02/lezginka.jp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io.nios.ru/sites/io.nios.ru/files/images/2018/02/kolechki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io.nios.ru/sites/io.nios.ru/files/images/2018/02/uho-nos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2174</Words>
  <Characters>12393</Characters>
  <Application>Microsoft Office Word</Application>
  <DocSecurity>0</DocSecurity>
  <Lines>103</Lines>
  <Paragraphs>29</Paragraphs>
  <ScaleCrop>false</ScaleCrop>
  <Company>SPecialiST RePack</Company>
  <LinksUpToDate>false</LinksUpToDate>
  <CharactersWithSpaces>14538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2022-05-10T17:21:00Z</dcterms:created>
  <dcterms:modified xsi:type="dcterms:W3CDTF">2024-02-11T17:13:00Z</dcterms:modified>
</cp:coreProperties>
</file>