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21" w:rsidRDefault="00F53620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  <w:t xml:space="preserve"> </w:t>
      </w: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Pr="00C80021" w:rsidRDefault="00C80021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44"/>
          <w:szCs w:val="28"/>
          <w:lang w:eastAsia="ru-RU"/>
        </w:rPr>
      </w:pPr>
    </w:p>
    <w:p w:rsidR="00F53620" w:rsidRPr="00C80021" w:rsidRDefault="00F53620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/>
          <w:bCs/>
          <w:color w:val="2F332E"/>
          <w:sz w:val="44"/>
          <w:szCs w:val="28"/>
          <w:lang w:eastAsia="ru-RU"/>
        </w:rPr>
      </w:pPr>
      <w:r w:rsidRPr="00C80021">
        <w:rPr>
          <w:rFonts w:ascii="Times New Roman" w:eastAsia="Times New Roman" w:hAnsi="Times New Roman" w:cs="Times New Roman"/>
          <w:b/>
          <w:bCs/>
          <w:color w:val="2F332E"/>
          <w:sz w:val="44"/>
          <w:szCs w:val="28"/>
          <w:lang w:eastAsia="ru-RU"/>
        </w:rPr>
        <w:t>«Содержание центров занимательной математики в ДОУ»</w:t>
      </w:r>
    </w:p>
    <w:p w:rsidR="00F53620" w:rsidRPr="00C80021" w:rsidRDefault="00F53620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bCs/>
          <w:color w:val="2F332E"/>
          <w:sz w:val="44"/>
          <w:szCs w:val="28"/>
          <w:lang w:eastAsia="ru-RU"/>
        </w:rPr>
      </w:pPr>
      <w:r w:rsidRPr="00C80021">
        <w:rPr>
          <w:rFonts w:ascii="Times New Roman" w:eastAsia="Times New Roman" w:hAnsi="Times New Roman" w:cs="Times New Roman"/>
          <w:bCs/>
          <w:color w:val="2F332E"/>
          <w:sz w:val="44"/>
          <w:szCs w:val="28"/>
          <w:lang w:eastAsia="ru-RU"/>
        </w:rPr>
        <w:t>(консультация для педагогов)</w:t>
      </w:r>
    </w:p>
    <w:p w:rsidR="00F53620" w:rsidRDefault="00F53620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  <w:t>   </w:t>
      </w: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</w:p>
    <w:p w:rsidR="00C80021" w:rsidRDefault="00C80021" w:rsidP="00C80021">
      <w:pPr>
        <w:spacing w:after="0" w:line="240" w:lineRule="auto"/>
        <w:ind w:right="568"/>
        <w:jc w:val="right"/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  <w:t xml:space="preserve">Подготовила: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  <w:t>Ковешникова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F332E"/>
          <w:sz w:val="28"/>
          <w:szCs w:val="28"/>
          <w:lang w:eastAsia="ru-RU"/>
        </w:rPr>
        <w:t xml:space="preserve"> Е.Ю.</w:t>
      </w:r>
    </w:p>
    <w:p w:rsidR="00C80021" w:rsidRPr="00FC2CC9" w:rsidRDefault="00C80021" w:rsidP="00F53620">
      <w:pPr>
        <w:spacing w:after="0" w:line="240" w:lineRule="auto"/>
        <w:ind w:left="567" w:right="568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</w:p>
    <w:p w:rsidR="00F53620" w:rsidRDefault="00F53620" w:rsidP="00F53620">
      <w:pPr>
        <w:spacing w:after="0" w:line="240" w:lineRule="auto"/>
        <w:ind w:right="568" w:firstLine="567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lastRenderedPageBreak/>
        <w:t xml:space="preserve">ФГОС </w:t>
      </w:r>
      <w:proofErr w:type="gramStart"/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ДО  устанавливает</w:t>
      </w:r>
      <w:proofErr w:type="gramEnd"/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 требования  к развивающей предметно-пространственной среде как одному из условий реализации основной образовательной пр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ограммы дошкольного образования. </w:t>
      </w:r>
    </w:p>
    <w:p w:rsidR="00F53620" w:rsidRPr="00FC2CC9" w:rsidRDefault="00F53620" w:rsidP="00F53620">
      <w:pPr>
        <w:spacing w:after="0" w:line="240" w:lineRule="auto"/>
        <w:ind w:right="568" w:firstLine="567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Развивающая предметно-пространственная среда должна позволять организовать как совместную деятельность педагога с детьми, так и самосто</w:t>
      </w: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softHyphen/>
        <w:t>ятельную детскую деятельность, направленную на самораз</w:t>
      </w: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softHyphen/>
        <w:t>витие ребенка под наблюдением и при поддержке взрослого.</w:t>
      </w:r>
    </w:p>
    <w:p w:rsidR="00F53620" w:rsidRPr="00FC2CC9" w:rsidRDefault="00F53620" w:rsidP="00F53620">
      <w:pPr>
        <w:spacing w:after="0" w:line="240" w:lineRule="auto"/>
        <w:ind w:right="568" w:firstLine="567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proofErr w:type="spellStart"/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Инновационность</w:t>
      </w:r>
      <w:proofErr w:type="spellEnd"/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 подхода к организации развивающей предметно-пространственной среды развития ребенка определяется актуальностью интеграции не только образовательных областей, определенных ФГОС, но и необходимостью организации центров активности на принципах развития и интеграции.</w:t>
      </w:r>
    </w:p>
    <w:p w:rsidR="00F53620" w:rsidRPr="00FC2CC9" w:rsidRDefault="00F53620" w:rsidP="00F53620">
      <w:pPr>
        <w:spacing w:after="0" w:line="240" w:lineRule="auto"/>
        <w:ind w:right="568" w:firstLine="567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Для реализации образовательной области «Познавательное развитие» через процесс формирования элементарных математических представлений в группах ДОУ организуются центры занимательной математики.</w:t>
      </w:r>
    </w:p>
    <w:p w:rsidR="00F53620" w:rsidRPr="00FC2CC9" w:rsidRDefault="00F53620" w:rsidP="00F53620">
      <w:pPr>
        <w:spacing w:after="0" w:line="240" w:lineRule="auto"/>
        <w:ind w:right="568" w:firstLine="567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proofErr w:type="gramStart"/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Центр занимательной математики должен быть оснащён материалами и атрибутами, позволяющими детям в самостоятельной деятельности отрабатывать навыки, закреплять уже имеющиеся  знания, открывать для себя новое  в области математики через своеобразные детские виды деятельности: игровую, поисково-исследовательскую, конструктивную, речевую и т.д.</w:t>
      </w:r>
      <w:proofErr w:type="gramEnd"/>
    </w:p>
    <w:p w:rsidR="00F53620" w:rsidRPr="00FC2CC9" w:rsidRDefault="00F53620" w:rsidP="00F53620">
      <w:pPr>
        <w:spacing w:after="0" w:line="240" w:lineRule="auto"/>
        <w:ind w:left="567"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 </w:t>
      </w:r>
    </w:p>
    <w:p w:rsidR="00F53620" w:rsidRPr="00FC2CC9" w:rsidRDefault="00F53620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>Примерное содержание центра занимательной математики в группах ДОУ:</w:t>
      </w:r>
    </w:p>
    <w:p w:rsidR="00F53620" w:rsidRPr="002246AD" w:rsidRDefault="00F53620" w:rsidP="00F53620">
      <w:pPr>
        <w:pStyle w:val="a3"/>
        <w:numPr>
          <w:ilvl w:val="0"/>
          <w:numId w:val="9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Разнообразные игры на  развитие сенсорных чу</w:t>
      </w:r>
      <w:proofErr w:type="gram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вств  в с</w:t>
      </w:r>
      <w:proofErr w:type="gram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оответстви</w:t>
      </w:r>
      <w:r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и с возрастом и развитием детей (</w:t>
      </w: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игры на  формирование элементарных математических представлений по количеству и счету,  величине и форме предметов, ориентировке в пространстве и  времени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)</w:t>
      </w: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.</w:t>
      </w:r>
    </w:p>
    <w:p w:rsidR="00F53620" w:rsidRPr="002246AD" w:rsidRDefault="00F53620" w:rsidP="00F53620">
      <w:pPr>
        <w:pStyle w:val="a3"/>
        <w:numPr>
          <w:ilvl w:val="0"/>
          <w:numId w:val="9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Разнообразн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ый счетный, наглядный материал (</w:t>
      </w: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плоскостные предметные картинки для счета; мелкие игрушки и предметы – матрешки, грибочки, рыбки и др.; счетные палочки; комплекты геометрических фигур разных размеров, разного цвета; природный материал для счета; комплекты цифр и т.д.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).</w:t>
      </w:r>
    </w:p>
    <w:p w:rsidR="00F53620" w:rsidRPr="00FC2CC9" w:rsidRDefault="00F53620" w:rsidP="00F53620">
      <w:pPr>
        <w:pStyle w:val="a3"/>
        <w:numPr>
          <w:ilvl w:val="0"/>
          <w:numId w:val="9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Занимательный материал математического содержания:</w:t>
      </w:r>
    </w:p>
    <w:p w:rsidR="00F53620" w:rsidRDefault="00F53620" w:rsidP="00F53620">
      <w:pPr>
        <w:pStyle w:val="a3"/>
        <w:numPr>
          <w:ilvl w:val="0"/>
          <w:numId w:val="10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задачи–шутки, головоломки, ребусы, игр на нахождение сходства и различия  и др.;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 </w:t>
      </w: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математические загадки;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 </w:t>
      </w: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математические считалки;</w:t>
      </w:r>
    </w:p>
    <w:p w:rsidR="00F53620" w:rsidRDefault="00F53620" w:rsidP="00F53620">
      <w:pPr>
        <w:pStyle w:val="a3"/>
        <w:numPr>
          <w:ilvl w:val="0"/>
          <w:numId w:val="10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математические развивающие, логические игры, соответствующие возрасту детей;</w:t>
      </w:r>
    </w:p>
    <w:p w:rsidR="00F53620" w:rsidRPr="00FC2CC9" w:rsidRDefault="00F53620" w:rsidP="00F53620">
      <w:pPr>
        <w:pStyle w:val="a3"/>
        <w:numPr>
          <w:ilvl w:val="0"/>
          <w:numId w:val="10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приборы-помощники: увеличительное стекло, песочные часы, магниты, мерные ложки, резиновые груши разного объема,</w:t>
      </w:r>
    </w:p>
    <w:p w:rsidR="00F53620" w:rsidRPr="00FC2CC9" w:rsidRDefault="00F53620" w:rsidP="00F53620">
      <w:pPr>
        <w:spacing w:after="0" w:line="240" w:lineRule="auto"/>
        <w:ind w:left="567" w:right="568"/>
        <w:jc w:val="center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> </w:t>
      </w:r>
    </w:p>
    <w:p w:rsidR="00F53620" w:rsidRPr="00FC2CC9" w:rsidRDefault="00F53620" w:rsidP="00F53620">
      <w:pPr>
        <w:spacing w:before="100" w:beforeAutospacing="1" w:after="100" w:afterAutospacing="1" w:line="240" w:lineRule="auto"/>
        <w:ind w:left="567" w:right="568"/>
        <w:jc w:val="center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lastRenderedPageBreak/>
        <w:t xml:space="preserve">Для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>младшей группы</w:t>
      </w:r>
    </w:p>
    <w:p w:rsidR="00F53620" w:rsidRPr="00FC2CC9" w:rsidRDefault="00F53620" w:rsidP="00F53620">
      <w:pPr>
        <w:spacing w:after="0" w:line="240" w:lineRule="auto"/>
        <w:ind w:right="568" w:firstLine="480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В центре занимательной математики  могут быть расположены дидактические игрушки и настольные игры, развивающие у детей умения:</w:t>
      </w:r>
    </w:p>
    <w:p w:rsidR="00F53620" w:rsidRPr="00FC2CC9" w:rsidRDefault="00F53620" w:rsidP="00F53620">
      <w:pPr>
        <w:numPr>
          <w:ilvl w:val="0"/>
          <w:numId w:val="2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i/>
          <w:iCs/>
          <w:color w:val="232622"/>
          <w:sz w:val="28"/>
          <w:szCs w:val="28"/>
          <w:lang w:eastAsia="ru-RU"/>
        </w:rPr>
        <w:t>сравнивать предметы по различным признакам</w:t>
      </w: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 -  размеру, форме, цвету, назначению и т.д.;</w:t>
      </w:r>
    </w:p>
    <w:p w:rsidR="00F53620" w:rsidRPr="002246AD" w:rsidRDefault="00F53620" w:rsidP="00F53620">
      <w:pPr>
        <w:numPr>
          <w:ilvl w:val="0"/>
          <w:numId w:val="2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proofErr w:type="gramStart"/>
      <w:r w:rsidRPr="00FC2CC9">
        <w:rPr>
          <w:rFonts w:ascii="Times New Roman" w:eastAsia="Times New Roman" w:hAnsi="Times New Roman" w:cs="Times New Roman"/>
          <w:i/>
          <w:iCs/>
          <w:color w:val="232622"/>
          <w:sz w:val="28"/>
          <w:szCs w:val="28"/>
          <w:lang w:eastAsia="ru-RU"/>
        </w:rPr>
        <w:t>группировать предметы на основе общих признаков</w:t>
      </w: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 (это - посуда, это - обувь; ленты одинаковой длины и одинакового цвета); составлять целое изображение из 6-8 частей («Игрушки», «Животные», «Цветы»): лото (посуда, одежда, мебель, животные, растения);</w:t>
      </w:r>
      <w:proofErr w:type="gramEnd"/>
    </w:p>
    <w:p w:rsidR="00F53620" w:rsidRPr="00FC2CC9" w:rsidRDefault="00F53620" w:rsidP="00F53620">
      <w:pPr>
        <w:numPr>
          <w:ilvl w:val="0"/>
          <w:numId w:val="2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i/>
          <w:iCs/>
          <w:color w:val="232622"/>
          <w:sz w:val="28"/>
          <w:szCs w:val="28"/>
          <w:lang w:eastAsia="ru-RU"/>
        </w:rPr>
        <w:t>составлять ряды из одинаковых предметов по убыванию или возрастанию того или иного признака: объема, высоты, интенсивности цвета и т.д.;</w:t>
      </w:r>
    </w:p>
    <w:p w:rsidR="00F53620" w:rsidRPr="00FC2CC9" w:rsidRDefault="00F53620" w:rsidP="00F53620">
      <w:pPr>
        <w:numPr>
          <w:ilvl w:val="0"/>
          <w:numId w:val="2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32622"/>
          <w:sz w:val="28"/>
          <w:szCs w:val="28"/>
          <w:lang w:eastAsia="ru-RU"/>
        </w:rPr>
        <w:t>Дидактические игры: </w:t>
      </w: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«Лото», парные картинки, крупная и средняя пластиковая мозаика, например: «Геометрические фигуры», пазлы из 6 – 18 частей, наборы разрезных картинок на кубиках, картинки – трафареты: «Сложи цветок», «Сложи елочку», «Сложи домик с окошком (для петушка)», «Чудесный мешочек» и т.д.</w:t>
      </w:r>
    </w:p>
    <w:p w:rsidR="00F53620" w:rsidRPr="00FC2CC9" w:rsidRDefault="00F53620" w:rsidP="00F53620">
      <w:pPr>
        <w:numPr>
          <w:ilvl w:val="0"/>
          <w:numId w:val="2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32622"/>
          <w:sz w:val="28"/>
          <w:szCs w:val="28"/>
          <w:lang w:eastAsia="ru-RU"/>
        </w:rPr>
        <w:t>Развивающие игры: </w:t>
      </w: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«Сложи узор», «Точки», «Уголки», «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Уникуб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», «Блоки 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Дьенеша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», «Палочки 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Кюизенера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», рамки-вкладыши 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Монтессори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 и т.д. в соответствии с возрастными задачами.</w:t>
      </w:r>
    </w:p>
    <w:p w:rsidR="00F53620" w:rsidRPr="00FC2CC9" w:rsidRDefault="00F53620" w:rsidP="00F53620">
      <w:pPr>
        <w:spacing w:before="100" w:beforeAutospacing="1" w:after="100" w:afterAutospacing="1" w:line="240" w:lineRule="auto"/>
        <w:ind w:left="567" w:right="568"/>
        <w:jc w:val="center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>средней группы</w:t>
      </w:r>
    </w:p>
    <w:p w:rsidR="00F53620" w:rsidRPr="00FC2CC9" w:rsidRDefault="00F53620" w:rsidP="00F53620">
      <w:pPr>
        <w:spacing w:after="0" w:line="240" w:lineRule="auto"/>
        <w:ind w:right="568" w:firstLine="480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Центр занимательной математики средней группы может содержать:</w:t>
      </w:r>
    </w:p>
    <w:p w:rsidR="00F53620" w:rsidRPr="00FC2CC9" w:rsidRDefault="00F53620" w:rsidP="00F53620">
      <w:pPr>
        <w:numPr>
          <w:ilvl w:val="0"/>
          <w:numId w:val="3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32622"/>
          <w:sz w:val="28"/>
          <w:szCs w:val="28"/>
          <w:lang w:eastAsia="ru-RU"/>
        </w:rPr>
        <w:t>Дидактические игрушки и настольные игры</w:t>
      </w: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, развивающие у детей умения:</w:t>
      </w:r>
    </w:p>
    <w:p w:rsidR="00F53620" w:rsidRPr="002246AD" w:rsidRDefault="00F53620" w:rsidP="00F53620">
      <w:pPr>
        <w:pStyle w:val="a3"/>
        <w:numPr>
          <w:ilvl w:val="0"/>
          <w:numId w:val="11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i/>
          <w:iCs/>
          <w:color w:val="2F332E"/>
          <w:sz w:val="28"/>
          <w:szCs w:val="28"/>
          <w:lang w:eastAsia="ru-RU"/>
        </w:rPr>
        <w:t>сравнивать предметы по различным признакам</w:t>
      </w: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 - размеру, форме, цвету, назначению и т.д.;</w:t>
      </w:r>
    </w:p>
    <w:p w:rsidR="00F53620" w:rsidRPr="002246AD" w:rsidRDefault="00F53620" w:rsidP="00F53620">
      <w:pPr>
        <w:pStyle w:val="a3"/>
        <w:numPr>
          <w:ilvl w:val="0"/>
          <w:numId w:val="11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proofErr w:type="gramStart"/>
      <w:r w:rsidRPr="002246AD">
        <w:rPr>
          <w:rFonts w:ascii="Times New Roman" w:eastAsia="Times New Roman" w:hAnsi="Times New Roman" w:cs="Times New Roman"/>
          <w:i/>
          <w:iCs/>
          <w:color w:val="2F332E"/>
          <w:sz w:val="28"/>
          <w:szCs w:val="28"/>
          <w:lang w:eastAsia="ru-RU"/>
        </w:rPr>
        <w:t>группировать предметы на основе общих признаков</w:t>
      </w: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 (это - посуда,</w:t>
      </w: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br/>
        <w:t>это – обувь, это - мебель; ленты одинаковой длины и одинакового цвета); составлять целое изображение из 6-8 частей  («Игрушки», «Животные», «Цветы» и т.п.):  лото (посуда, одежда, мебель, животные, растения); мозаика геометрическая;</w:t>
      </w:r>
      <w:proofErr w:type="gramEnd"/>
    </w:p>
    <w:p w:rsidR="00F53620" w:rsidRPr="002246AD" w:rsidRDefault="00F53620" w:rsidP="00F53620">
      <w:pPr>
        <w:pStyle w:val="a3"/>
        <w:numPr>
          <w:ilvl w:val="0"/>
          <w:numId w:val="11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i/>
          <w:iCs/>
          <w:color w:val="2F332E"/>
          <w:sz w:val="28"/>
          <w:szCs w:val="28"/>
          <w:lang w:eastAsia="ru-RU"/>
        </w:rPr>
        <w:t>составлять ряды из одинаковых предметов по убыванию или возрастанию того или иного признака: объема, высоты, интенсивности цвета и т.д.;</w:t>
      </w:r>
    </w:p>
    <w:p w:rsidR="00F53620" w:rsidRPr="002246AD" w:rsidRDefault="00F53620" w:rsidP="00F53620">
      <w:pPr>
        <w:pStyle w:val="a3"/>
        <w:numPr>
          <w:ilvl w:val="0"/>
          <w:numId w:val="11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i/>
          <w:iCs/>
          <w:color w:val="2F332E"/>
          <w:sz w:val="28"/>
          <w:szCs w:val="28"/>
          <w:lang w:eastAsia="ru-RU"/>
        </w:rPr>
        <w:t>составлять простой план-схему с использованием разнообразных замещений</w:t>
      </w:r>
      <w:r>
        <w:rPr>
          <w:rFonts w:ascii="Times New Roman" w:eastAsia="Times New Roman" w:hAnsi="Times New Roman" w:cs="Times New Roman"/>
          <w:i/>
          <w:iCs/>
          <w:color w:val="2F332E"/>
          <w:sz w:val="28"/>
          <w:szCs w:val="28"/>
          <w:lang w:eastAsia="ru-RU"/>
        </w:rPr>
        <w:t xml:space="preserve"> </w:t>
      </w: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реальных объектов: игры «Замри», «Волшебные картинки», «Придумай сам», «Где мама?» и др.;</w:t>
      </w:r>
    </w:p>
    <w:p w:rsidR="00F53620" w:rsidRPr="00FC2CC9" w:rsidRDefault="00F53620" w:rsidP="00F53620">
      <w:pPr>
        <w:numPr>
          <w:ilvl w:val="0"/>
          <w:numId w:val="4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32622"/>
          <w:sz w:val="28"/>
          <w:szCs w:val="28"/>
          <w:lang w:eastAsia="ru-RU"/>
        </w:rPr>
        <w:t>Дидактические игры:</w:t>
      </w:r>
    </w:p>
    <w:p w:rsidR="00F53620" w:rsidRPr="002246AD" w:rsidRDefault="00F53620" w:rsidP="00F53620">
      <w:pPr>
        <w:pStyle w:val="a3"/>
        <w:numPr>
          <w:ilvl w:val="0"/>
          <w:numId w:val="12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lastRenderedPageBreak/>
        <w:t>игры для понимания символики, схематичности и условности («На что похоже?», «Дострой»);</w:t>
      </w:r>
    </w:p>
    <w:p w:rsidR="00F53620" w:rsidRPr="002246AD" w:rsidRDefault="00F53620" w:rsidP="00F53620">
      <w:pPr>
        <w:pStyle w:val="a3"/>
        <w:numPr>
          <w:ilvl w:val="0"/>
          <w:numId w:val="12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модели: числовая лесенка, ряд величин, спиралевидные модели на познание временных отношений;</w:t>
      </w:r>
    </w:p>
    <w:p w:rsidR="00F53620" w:rsidRPr="002246AD" w:rsidRDefault="00F53620" w:rsidP="00F53620">
      <w:pPr>
        <w:pStyle w:val="a3"/>
        <w:numPr>
          <w:ilvl w:val="0"/>
          <w:numId w:val="12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игры для освоения </w:t>
      </w:r>
      <w:proofErr w:type="spellStart"/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величинных</w:t>
      </w:r>
      <w:proofErr w:type="spellEnd"/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, числовых, пространственно-временных отношений («Составь такой же узор»);</w:t>
      </w:r>
    </w:p>
    <w:p w:rsidR="00F53620" w:rsidRPr="002246AD" w:rsidRDefault="00F53620" w:rsidP="00F53620">
      <w:pPr>
        <w:pStyle w:val="a3"/>
        <w:numPr>
          <w:ilvl w:val="0"/>
          <w:numId w:val="12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игры с алгоритмами, включающие 3-5 элементов («Выращивание дерева») и т.п.</w:t>
      </w:r>
    </w:p>
    <w:p w:rsidR="00F53620" w:rsidRPr="00FC2CC9" w:rsidRDefault="00F53620" w:rsidP="00F53620">
      <w:pPr>
        <w:numPr>
          <w:ilvl w:val="0"/>
          <w:numId w:val="5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32622"/>
          <w:sz w:val="28"/>
          <w:szCs w:val="28"/>
          <w:lang w:eastAsia="ru-RU"/>
        </w:rPr>
        <w:t>Развивающие игры: </w:t>
      </w: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«Сложи узор», «Точки», «Уголки», «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Уникуб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», «Блоки 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Дьенеша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», «Палочки 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Кюизенера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», рамки-вкладыши </w:t>
      </w:r>
      <w:proofErr w:type="spellStart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Монтессори</w:t>
      </w:r>
      <w:proofErr w:type="spellEnd"/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 xml:space="preserve"> и т.д. в соответствии с возрастными задачами</w:t>
      </w:r>
    </w:p>
    <w:p w:rsidR="00F53620" w:rsidRPr="00FC2CC9" w:rsidRDefault="00F53620" w:rsidP="00F53620">
      <w:pPr>
        <w:spacing w:before="100" w:beforeAutospacing="1" w:after="100" w:afterAutospacing="1" w:line="240" w:lineRule="auto"/>
        <w:ind w:left="567" w:right="568"/>
        <w:jc w:val="center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i/>
          <w:iCs/>
          <w:color w:val="2F332E"/>
          <w:sz w:val="28"/>
          <w:szCs w:val="28"/>
          <w:lang w:eastAsia="ru-RU"/>
        </w:rPr>
        <w:t>старшего дошкольного возраста</w:t>
      </w:r>
    </w:p>
    <w:p w:rsidR="00F53620" w:rsidRPr="00FC2CC9" w:rsidRDefault="00F53620" w:rsidP="00F53620">
      <w:pPr>
        <w:spacing w:after="0" w:line="240" w:lineRule="auto"/>
        <w:ind w:right="568" w:firstLine="480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В группах старшего дошкольного возраста центр занимательной математики может содержать:</w:t>
      </w:r>
    </w:p>
    <w:p w:rsidR="00F53620" w:rsidRDefault="00F53620" w:rsidP="00F53620">
      <w:pPr>
        <w:numPr>
          <w:ilvl w:val="0"/>
          <w:numId w:val="6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Трафареты, линейки и другие измерительные эталоны</w:t>
      </w:r>
    </w:p>
    <w:p w:rsidR="00F53620" w:rsidRPr="002246AD" w:rsidRDefault="00F53620" w:rsidP="00F53620">
      <w:pPr>
        <w:numPr>
          <w:ilvl w:val="0"/>
          <w:numId w:val="6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b/>
          <w:color w:val="232622"/>
          <w:sz w:val="28"/>
          <w:szCs w:val="28"/>
          <w:lang w:eastAsia="ru-RU"/>
        </w:rPr>
      </w:pPr>
      <w:r w:rsidRPr="002246AD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Дидактические игры:</w:t>
      </w:r>
    </w:p>
    <w:p w:rsidR="00F53620" w:rsidRDefault="00F53620" w:rsidP="00F5362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hAnsi="Times New Roman" w:cs="Times New Roman"/>
          <w:color w:val="2F332E"/>
          <w:sz w:val="28"/>
          <w:szCs w:val="28"/>
          <w:lang w:eastAsia="ru-RU"/>
        </w:rPr>
        <w:t>игры для деления целого предмета на части и составление целого из частей («Дроби», «Составь круг»);</w:t>
      </w:r>
    </w:p>
    <w:p w:rsidR="00F53620" w:rsidRPr="002246AD" w:rsidRDefault="00F53620" w:rsidP="00F5362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игры с цифрами, монетами;</w:t>
      </w:r>
    </w:p>
    <w:p w:rsidR="00F53620" w:rsidRPr="002246AD" w:rsidRDefault="00F53620" w:rsidP="00F5362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игры для развития числовых представлений и умений количественно оценивать разные величины.  («Сравни и подбери»);</w:t>
      </w:r>
    </w:p>
    <w:p w:rsidR="00F53620" w:rsidRPr="002246AD" w:rsidRDefault="00F53620" w:rsidP="00F5362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2F33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</w:t>
      </w: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гры с алгори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тмами («Вычислительные машины»);</w:t>
      </w:r>
    </w:p>
    <w:p w:rsidR="00F53620" w:rsidRPr="002246AD" w:rsidRDefault="00F53620" w:rsidP="00F5362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2F33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м</w:t>
      </w: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одели числовых и временных отношений («Ч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исловая лесенка», «Дни недели»);</w:t>
      </w:r>
    </w:p>
    <w:p w:rsidR="00F53620" w:rsidRPr="002246AD" w:rsidRDefault="00F53620" w:rsidP="00F5362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color w:val="2F33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к</w:t>
      </w: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алендарь, модель календаря.</w:t>
      </w:r>
    </w:p>
    <w:p w:rsidR="00F53620" w:rsidRPr="00FC2CC9" w:rsidRDefault="00F53620" w:rsidP="00F53620">
      <w:pPr>
        <w:numPr>
          <w:ilvl w:val="0"/>
          <w:numId w:val="7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b/>
          <w:bCs/>
          <w:color w:val="232622"/>
          <w:sz w:val="28"/>
          <w:szCs w:val="28"/>
          <w:lang w:eastAsia="ru-RU"/>
        </w:rPr>
        <w:t>Развивающие игры</w:t>
      </w:r>
      <w:r>
        <w:rPr>
          <w:rFonts w:ascii="Times New Roman" w:eastAsia="Times New Roman" w:hAnsi="Times New Roman" w:cs="Times New Roman"/>
          <w:b/>
          <w:bCs/>
          <w:color w:val="232622"/>
          <w:sz w:val="28"/>
          <w:szCs w:val="28"/>
          <w:lang w:eastAsia="ru-RU"/>
        </w:rPr>
        <w:t>:</w:t>
      </w:r>
    </w:p>
    <w:p w:rsidR="00F53620" w:rsidRDefault="00F53620" w:rsidP="00F53620">
      <w:pPr>
        <w:pStyle w:val="a3"/>
        <w:numPr>
          <w:ilvl w:val="0"/>
          <w:numId w:val="14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proofErr w:type="gramStart"/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игры, развивающие психические процессы: шахматы, шашки, нарды, лото-бочонки и т.п.</w:t>
      </w:r>
      <w:proofErr w:type="gramEnd"/>
    </w:p>
    <w:p w:rsidR="00F53620" w:rsidRDefault="00F53620" w:rsidP="00F53620">
      <w:pPr>
        <w:pStyle w:val="a3"/>
        <w:numPr>
          <w:ilvl w:val="0"/>
          <w:numId w:val="14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игра-пособие «</w:t>
      </w:r>
      <w:proofErr w:type="spellStart"/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Стосчет</w:t>
      </w:r>
      <w:proofErr w:type="spellEnd"/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» Н.А. Зайцева, </w:t>
      </w:r>
      <w:proofErr w:type="gramStart"/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часы-конструктор</w:t>
      </w:r>
      <w:proofErr w:type="gramEnd"/>
      <w:r w:rsidRPr="002246AD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, весы;</w:t>
      </w:r>
    </w:p>
    <w:p w:rsidR="00F53620" w:rsidRPr="007572EE" w:rsidRDefault="00F53620" w:rsidP="00F53620">
      <w:pPr>
        <w:pStyle w:val="a3"/>
        <w:numPr>
          <w:ilvl w:val="0"/>
          <w:numId w:val="14"/>
        </w:num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</w:pPr>
      <w:r w:rsidRPr="007572EE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игры Никитина, блоки </w:t>
      </w:r>
      <w:proofErr w:type="spellStart"/>
      <w:r w:rsidRPr="007572EE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Дьенеша</w:t>
      </w:r>
      <w:proofErr w:type="spellEnd"/>
      <w:r w:rsidRPr="007572EE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, палочки </w:t>
      </w:r>
      <w:proofErr w:type="spellStart"/>
      <w:r w:rsidRPr="007572EE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Кюизенера</w:t>
      </w:r>
      <w:proofErr w:type="spellEnd"/>
      <w:r w:rsidRPr="007572EE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, игры </w:t>
      </w:r>
      <w:proofErr w:type="spellStart"/>
      <w:r w:rsidRPr="007572EE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Воскобовича</w:t>
      </w:r>
      <w:proofErr w:type="spellEnd"/>
      <w:r w:rsidRPr="007572EE"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 и др. в соответствии с возрастными задачами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>.</w:t>
      </w:r>
    </w:p>
    <w:p w:rsidR="00F53620" w:rsidRPr="00FC2CC9" w:rsidRDefault="00F53620" w:rsidP="00F53620">
      <w:pPr>
        <w:numPr>
          <w:ilvl w:val="0"/>
          <w:numId w:val="8"/>
        </w:numPr>
        <w:spacing w:before="48" w:after="48" w:line="240" w:lineRule="auto"/>
        <w:ind w:left="480"/>
        <w:jc w:val="both"/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</w:pPr>
      <w:r w:rsidRPr="00FC2CC9">
        <w:rPr>
          <w:rFonts w:ascii="Times New Roman" w:eastAsia="Times New Roman" w:hAnsi="Times New Roman" w:cs="Times New Roman"/>
          <w:color w:val="232622"/>
          <w:sz w:val="28"/>
          <w:szCs w:val="28"/>
          <w:lang w:eastAsia="ru-RU"/>
        </w:rPr>
        <w:t>Природный и «бросовый» материал</w:t>
      </w:r>
    </w:p>
    <w:p w:rsidR="00A85389" w:rsidRDefault="00A85389"/>
    <w:sectPr w:rsidR="00A85389" w:rsidSect="008E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A76"/>
    <w:multiLevelType w:val="multilevel"/>
    <w:tmpl w:val="4AE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31F1A"/>
    <w:multiLevelType w:val="multilevel"/>
    <w:tmpl w:val="B39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C4561"/>
    <w:multiLevelType w:val="hybridMultilevel"/>
    <w:tmpl w:val="A72A9884"/>
    <w:lvl w:ilvl="0" w:tplc="0419000D">
      <w:start w:val="1"/>
      <w:numFmt w:val="bullet"/>
      <w:lvlText w:val="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>
    <w:nsid w:val="1EF37A75"/>
    <w:multiLevelType w:val="multilevel"/>
    <w:tmpl w:val="69B4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C35B6"/>
    <w:multiLevelType w:val="multilevel"/>
    <w:tmpl w:val="A59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35807"/>
    <w:multiLevelType w:val="multilevel"/>
    <w:tmpl w:val="B8A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F386F"/>
    <w:multiLevelType w:val="multilevel"/>
    <w:tmpl w:val="7EAC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F421A"/>
    <w:multiLevelType w:val="hybridMultilevel"/>
    <w:tmpl w:val="547A2F7A"/>
    <w:lvl w:ilvl="0" w:tplc="B5B0B3E8">
      <w:start w:val="1"/>
      <w:numFmt w:val="decimal"/>
      <w:lvlText w:val="%1."/>
      <w:lvlJc w:val="left"/>
      <w:pPr>
        <w:ind w:left="927" w:hanging="360"/>
      </w:pPr>
      <w:rPr>
        <w:rFonts w:hint="default"/>
        <w:color w:val="2326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56412F"/>
    <w:multiLevelType w:val="multilevel"/>
    <w:tmpl w:val="EC02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0D007D"/>
    <w:multiLevelType w:val="hybridMultilevel"/>
    <w:tmpl w:val="893EA2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F228BC"/>
    <w:multiLevelType w:val="hybridMultilevel"/>
    <w:tmpl w:val="451477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2D3F56"/>
    <w:multiLevelType w:val="hybridMultilevel"/>
    <w:tmpl w:val="1D583C60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6A3A0C97"/>
    <w:multiLevelType w:val="multilevel"/>
    <w:tmpl w:val="579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D0745"/>
    <w:multiLevelType w:val="hybridMultilevel"/>
    <w:tmpl w:val="1D5A77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53620"/>
    <w:rsid w:val="008E2784"/>
    <w:rsid w:val="00A85389"/>
    <w:rsid w:val="00C80021"/>
    <w:rsid w:val="00F5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20"/>
    <w:pPr>
      <w:ind w:left="720"/>
      <w:contextualSpacing/>
    </w:pPr>
  </w:style>
  <w:style w:type="paragraph" w:styleId="a4">
    <w:name w:val="No Spacing"/>
    <w:uiPriority w:val="1"/>
    <w:qFormat/>
    <w:rsid w:val="00F536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20"/>
    <w:pPr>
      <w:ind w:left="720"/>
      <w:contextualSpacing/>
    </w:pPr>
  </w:style>
  <w:style w:type="paragraph" w:styleId="a4">
    <w:name w:val="No Spacing"/>
    <w:uiPriority w:val="1"/>
    <w:qFormat/>
    <w:rsid w:val="00F536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</cp:lastModifiedBy>
  <cp:revision>2</cp:revision>
  <dcterms:created xsi:type="dcterms:W3CDTF">2020-06-29T12:04:00Z</dcterms:created>
  <dcterms:modified xsi:type="dcterms:W3CDTF">2024-02-29T14:04:00Z</dcterms:modified>
</cp:coreProperties>
</file>