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МДОАУ «Детский сад комбинированного вида № 71 «Лучик»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Использование нейроигр и упражнений в ФЭМП детей старшего возраста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77014" cy="4451259"/>
                <wp:effectExtent l="381000" t="0" r="361950" b="0"/>
                <wp:docPr id="1" name="Picture 2" descr="C:\Users\User\Desktop\фото для мастер нейро\IMG_20211022_105726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 descr="C:\Users\User\Desktop\фото для мастер нейро\IMG_20211022_105726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16343" r="0" b="26372"/>
                        <a:stretch/>
                      </pic:blipFill>
                      <pic:spPr bwMode="auto">
                        <a:xfrm rot="16199999">
                          <a:off x="0" y="0"/>
                          <a:ext cx="3704174" cy="44841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9.53pt;height:350.49pt;mso-wrap-distance-left:0.00pt;mso-wrap-distance-top:0.00pt;mso-wrap-distance-right:0.00pt;mso-wrap-distance-bottom:0.00pt;rotation:269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Style w:val="657"/>
        <w:jc w:val="right"/>
        <w:spacing w:before="0" w:beforeAutospacing="0" w:after="0" w:afterAutospacing="0" w:line="360" w:lineRule="atLeast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 воспитатель высшей квалификационной категории: Степанова Е.Р.</w:t>
      </w:r>
      <w:r>
        <w:rPr>
          <w:b/>
          <w:sz w:val="28"/>
          <w:szCs w:val="28"/>
        </w:rPr>
      </w:r>
    </w:p>
    <w:p>
      <w:pPr>
        <w:pStyle w:val="657"/>
        <w:jc w:val="right"/>
        <w:spacing w:before="0" w:beforeAutospacing="0" w:after="0" w:afterAutospacing="0" w:line="360" w:lineRule="atLeast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57"/>
        <w:jc w:val="right"/>
        <w:spacing w:before="0" w:beforeAutospacing="0" w:after="0" w:afterAutospacing="0" w:line="360" w:lineRule="atLeast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г.Орск 2024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57"/>
        <w:spacing w:before="0" w:beforeAutospacing="0" w:after="0" w:afterAutospacing="0" w:line="360" w:lineRule="atLeast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занятиях по формированию элементарных математических представлений   ребёнок учится</w:t>
      </w:r>
      <w:r>
        <w:rPr>
          <w:color w:val="000000"/>
          <w:sz w:val="28"/>
          <w:szCs w:val="28"/>
        </w:rPr>
        <w:t xml:space="preserve"> анализировать, обобщ</w:t>
      </w:r>
      <w:r>
        <w:rPr>
          <w:color w:val="000000"/>
          <w:sz w:val="28"/>
          <w:szCs w:val="28"/>
        </w:rPr>
        <w:t xml:space="preserve">ать информацию, </w:t>
      </w:r>
      <w:r>
        <w:rPr>
          <w:color w:val="000000"/>
          <w:sz w:val="28"/>
          <w:szCs w:val="28"/>
        </w:rPr>
        <w:t xml:space="preserve">мыслить на несколько шагов вперед, строить ал</w:t>
      </w:r>
      <w:r>
        <w:rPr>
          <w:color w:val="000000"/>
          <w:sz w:val="28"/>
          <w:szCs w:val="28"/>
        </w:rPr>
        <w:t xml:space="preserve">горитмы.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Здесь весомая нагрузка ложиться на различные отделы мозга.</w:t>
      </w:r>
      <w:r>
        <w:rPr>
          <w:color w:val="000000"/>
          <w:sz w:val="28"/>
          <w:szCs w:val="28"/>
        </w:rPr>
      </w:r>
    </w:p>
    <w:p>
      <w:pPr>
        <w:pStyle w:val="657"/>
        <w:spacing w:before="0" w:beforeAutospacing="0" w:after="0" w:afterAutospacing="0" w:line="360" w:lineRule="atLeast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Как помочь мозгу ребенка воспринимать материал на занятиях по ФЭМП?</w:t>
      </w:r>
      <w:r>
        <w:rPr>
          <w:color w:val="000000"/>
          <w:sz w:val="28"/>
          <w:szCs w:val="28"/>
        </w:rPr>
      </w:r>
    </w:p>
    <w:p>
      <w:pPr>
        <w:pStyle w:val="657"/>
        <w:spacing w:before="0" w:beforeAutospacing="0" w:after="0" w:afterAutospacing="0" w:line="360" w:lineRule="atLeast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Именно создание нейронных связей  способствуют развитию мозга</w:t>
      </w:r>
      <w:r>
        <w:rPr>
          <w:color w:val="000000"/>
          <w:sz w:val="28"/>
          <w:szCs w:val="28"/>
        </w:rPr>
        <w:t xml:space="preserve">,  </w:t>
      </w:r>
      <w:r>
        <w:rPr>
          <w:color w:val="000000"/>
          <w:sz w:val="28"/>
          <w:szCs w:val="28"/>
          <w:shd w:val="clear" w:color="auto" w:fill="ffffff"/>
        </w:rPr>
        <w:t xml:space="preserve">в частности,  информация, передаваемая между различными обла</w:t>
      </w:r>
      <w:r>
        <w:rPr>
          <w:color w:val="000000"/>
          <w:sz w:val="28"/>
          <w:szCs w:val="28"/>
          <w:shd w:val="clear" w:color="auto" w:fill="ffffff"/>
        </w:rPr>
        <w:t xml:space="preserve">стями мозга обеспечивает </w:t>
      </w:r>
      <w:r>
        <w:rPr>
          <w:color w:val="000000"/>
          <w:sz w:val="28"/>
          <w:szCs w:val="28"/>
          <w:shd w:val="clear" w:color="auto" w:fill="ffffff"/>
        </w:rPr>
        <w:t xml:space="preserve">жизненн</w:t>
      </w:r>
      <w:r>
        <w:rPr>
          <w:color w:val="000000"/>
          <w:sz w:val="28"/>
          <w:szCs w:val="28"/>
          <w:shd w:val="clear" w:color="auto" w:fill="ffffff"/>
        </w:rPr>
        <w:t xml:space="preserve">о важные</w:t>
      </w:r>
      <w:r>
        <w:rPr>
          <w:color w:val="000000"/>
          <w:sz w:val="28"/>
          <w:szCs w:val="28"/>
          <w:shd w:val="clear" w:color="auto" w:fill="ffffff"/>
        </w:rPr>
        <w:t xml:space="preserve"> процессы человеческого организма: память, речь, построение логических цепочек умозаключений, управление движениями собственного тела.</w:t>
      </w:r>
      <w:r>
        <w:rPr>
          <w:color w:val="000000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Межполушарное взаимодействие – это особый механизм объединения левого и правого полушария в единую интегративную, целостно работающую систему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Чем более слаженна и синхронизирована  работа двух полуша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рий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головного мозга, тем легче и эффективнее усваиваивается весь учебный материал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быстрее мы будем продвигаться к достижению своих целей и задач.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Межполушарное взаимодействие возможно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при помощи комплекса специальных двигательных (кинезиологических) упражнений, которые направлены на развитие общей двигательной координации, формирование содружественных движений двумя руками и ногами совместно с речью и умственной деятельностью.</w:t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Style w:val="657"/>
        <w:spacing w:before="0" w:beforeAutospacing="0" w:after="0" w:afterAutospacing="0" w:line="360" w:lineRule="atLeast"/>
        <w:shd w:val="clear" w:color="auto" w:fill="ffffff"/>
        <w:rPr>
          <w:color w:val="000000"/>
          <w:sz w:val="28"/>
          <w:szCs w:val="28"/>
        </w:rPr>
      </w:pPr>
      <w:r>
        <w:rPr>
          <w:rFonts w:eastAsiaTheme="minorHAnsi"/>
          <w:b/>
          <w:sz w:val="36"/>
          <w:szCs w:val="36"/>
          <w:lang w:eastAsia="en-US"/>
        </w:rPr>
        <w:t xml:space="preserve">        </w:t>
      </w:r>
      <w:r>
        <w:rPr>
          <w:color w:val="000000"/>
          <w:sz w:val="28"/>
          <w:szCs w:val="28"/>
        </w:rPr>
        <w:t xml:space="preserve">В свои занятия </w:t>
      </w:r>
      <w:r>
        <w:rPr>
          <w:color w:val="000000"/>
          <w:sz w:val="28"/>
          <w:szCs w:val="28"/>
        </w:rPr>
        <w:t xml:space="preserve">по ФЭМП </w:t>
      </w:r>
      <w:r>
        <w:rPr>
          <w:color w:val="000000"/>
          <w:sz w:val="28"/>
          <w:szCs w:val="28"/>
        </w:rPr>
        <w:t xml:space="preserve"> я включаю нейроигры и упражнения</w:t>
      </w:r>
      <w:r>
        <w:rPr>
          <w:color w:val="000000"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их основе </w:t>
      </w:r>
      <w:r>
        <w:rPr>
          <w:sz w:val="28"/>
          <w:szCs w:val="28"/>
        </w:rPr>
        <w:t xml:space="preserve"> лежат т</w:t>
      </w:r>
      <w:r>
        <w:rPr>
          <w:sz w:val="28"/>
          <w:szCs w:val="28"/>
        </w:rPr>
        <w:t xml:space="preserve">ри основных принципа укрепления </w:t>
      </w:r>
      <w:r>
        <w:rPr>
          <w:sz w:val="28"/>
          <w:szCs w:val="28"/>
        </w:rPr>
        <w:t xml:space="preserve">межполушарных связей.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1.Разнообразие</w:t>
      </w:r>
      <w:r>
        <w:rPr>
          <w:sz w:val="28"/>
          <w:szCs w:val="28"/>
        </w:rPr>
        <w:t xml:space="preserve">. Мозг начинает активно развиваться тогда, когда мы сосредотачиваемся на выполнении непри</w:t>
      </w:r>
      <w:r>
        <w:rPr>
          <w:sz w:val="28"/>
          <w:szCs w:val="28"/>
        </w:rPr>
        <w:t xml:space="preserve">вычных движений.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2. Одновременность действий.</w:t>
      </w:r>
      <w:r>
        <w:rPr>
          <w:sz w:val="28"/>
          <w:szCs w:val="28"/>
        </w:rPr>
        <w:t xml:space="preserve"> В процессе должны участвовать оба полушария, ведь левое, как известно, контролирует правую половину тела, а правое – левую, левое отвечает за речь, а правое – за координацию движений.</w:t>
      </w:r>
      <w:r>
        <w:rPr>
          <w:color w:val="000000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Работа обеими руками.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Любые упражнения, выполняемые и левой, и правой рукой, способствуют укреплению нейронных связей и созданию новых.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«Разноцветные кубики»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способствуют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развитию концентрации и распределения внимания с опорой на пространственные предс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тавления.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Здесь каждый цвет кубика означает своё направление. Игра также  развивает цветовое восприятие.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Нейроупражнение  с массажными мячиками, получившее название «Навигатор», можно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также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включать  в занятия по формированию элементарных математических представлений. С помощью этой игры  закрепляются понятия: "направо", "налево", "вперед", "назад".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Массажные  мячики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и во время физминуток на занятиях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комплекса упражнений нейрогимнастики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серии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различных движений с мячиками и удержание определенного ритма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приводит к улучшению психоэмоционального состояния детей,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умственную работоспособность,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развивают концентрацию внимания и сосредоточенность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увеличивают эффективность занятия.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Упражнения с мячиками включают ритмичное перекладывание или перебрасывание мячиков из руки в руку (свою или партнера).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Множественные пересечения средней линии тела в упражнениях синхронизируют работу правого и левого полушария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Ещё одна интересная  игра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способствующая развитию концентрации и распределения внимания с опорой на пространственные представления, «Разноцветные кубики». Здесь каждый цвет кубика означает своё направление. Игра также  развивает цветовое восприятие.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работе с детьми мы используем различные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нейро-тренажоры.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При работе с  пособием «Весёлые пуговки» на первом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этапе  детям предлагается застегнуть, а затем растегнуть петли двумя руками одновременно. На втором этапе левой рукой дети расстегивают петли, а правой рукой застегивают. Руки работают одновременно. И на третьем этапе мы подключаем  прямой и обратный счёт.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принципу от «простого к сложному» работаем с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«Пальчиковыми дорожками»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Ещё мы называем их «пальцеходы». На слайде представлены несколько видов «пальцеходов».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 xml:space="preserve">деревянном  пальцеходе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ребёнок «шагает» двумя руками одновременно. 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Шагая пальчиками по дорожке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«Лего»,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ребёнок следит за порядком и  цветом кубиков, выстроенных на образце. Усложняя  задание, можно предложить «шагать» и считать в прямом и обратном порядке.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пальцеходе </w:t>
      </w:r>
      <w:r>
        <w:rPr>
          <w:rFonts w:ascii="Times New Roman" w:hAnsi="Times New Roman" w:cs="Times New Roman"/>
          <w:b/>
          <w:sz w:val="28"/>
          <w:szCs w:val="28"/>
        </w:rPr>
        <w:t xml:space="preserve">«Квадрат-прямоугольник»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ребёнок шагает двумя руками одновременно. На квадрат ребёнок размещает один палец, на прямоугольник два. Расположение фигур для каждой руки разное. Квадраты и прямоугольники чередуются.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качестве усложнения  на прямоугольники кладём цифру, и ребёнок, «шагая» пальчиками одной руки  на прямоугольник,  называет число, а «шагая» пальчиками другой руки, называет  соседей или состав числа.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игру </w:t>
      </w:r>
      <w:r>
        <w:rPr>
          <w:rFonts w:ascii="Times New Roman" w:hAnsi="Times New Roman" w:cs="Times New Roman"/>
          <w:b/>
          <w:sz w:val="28"/>
          <w:szCs w:val="28"/>
        </w:rPr>
        <w:t xml:space="preserve">«Кубики – ладошки»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играть парами. Один ребёнок  выкидывает двумя руками кубики с жестами. Другой должен быстро показать эти жесты двумя руками одновременно. 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втором этапе ребёнок одной рукой выкидывает один кубик с жестами, другой рукой кубик с цифрой. Одной рукой показываем жест, другой цифру.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на третьем этапе вместо одного кубика с цифрой ребёнок выкидывает два кубика с цифрами. Нужно одной рукой показать жест, а другой сумму двух чисел.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полюбившейся  детьми игре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«Умные перчатки»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сначала дети одновременно двумя руками ставят кубики друг на друга по  порядку пальчиков, соотнося кубики и пальчики по цвету.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качестве усложнения предлагаем найти соседей или состав числа, также соотнося кубик с  цветом  и цифрой пальчиков.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Пособие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Рамка-вкладыш»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представляет собой доску-планшет с вырезанными квадратами  и  набор из девяти  квадратных  рамок-пластинок.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дополнение к рамке-вкладышу сшиты мешочки.  Каждый мешочек имеет различный по размеру и по фактуре наполнитель, что стимулирует развитие мелкой моторики. 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помощью этого пособия мы закрепляем: представления о цифрах от 0 до 9 на основе сравнения двух множеств; умение решать примеры на сложение и вычитание; знания о геометрических фигурах. И конечно  развиваем межполушарное взаимодействие.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Усложняя работу с пособием, ребёнку предлагается выполнить задания, стоя на балансировочной доске.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Упражнения на балансире способствуют мозжечковой стимуляции, направлены на синхронизацию дв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игательных и познавательных навыков, развитию зрительно - моторной координации. Чтобы удержать равновесие на такой доске требуется определенная сноровка, поэтому сначала ребенку необходимо научиться удерживать равновесие на самой доске. Далее ребенку необх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одимо выполнять различные упражнения с дополнительным инвентарем, балансируя на доске в положении стоя. Например, перебросить мешочки из одной ладони в другую, отбить мячик палкой, повернуть туловище в разные стороны , поймать кольцо с помощью кольцеброса.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«Зачеркни геометрическую фигуру».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Ребёнку предлагается в левую и правую руку взять фломастер и одновременно двумя руками зачеркнуть только квадраты или только треугольники и т.д. Затем усложняем: в квадрате нужно написать знак минус, в круге знак плюс, в треугольнике точку.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Разработана и используется на занятиях по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ФЭМП картотека графических диктантов, где три уровня сложности. А также в работе с детьми используются зашумлённые цифры, лабиринты, таблицы  Шульте.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азработан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и и</w:t>
      </w:r>
      <w:r>
        <w:rPr>
          <w:rFonts w:ascii="Times New Roman" w:hAnsi="Times New Roman" w:eastAsia="Calibri" w:cs="Times New Roman"/>
          <w:sz w:val="28"/>
          <w:szCs w:val="28"/>
        </w:rPr>
        <w:t xml:space="preserve">с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пользуется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индивидуальной и подгрупповой работе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 формированию элементарных математических представлений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и физическому развитию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комплекс нейроигр и упражнений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«Тропинка здоровья»</w:t>
      </w:r>
      <w:r>
        <w:rPr>
          <w:rFonts w:ascii="Times New Roman" w:hAnsi="Times New Roman" w:eastAsia="Calibri" w:cs="Times New Roman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  <w:t xml:space="preserve"> С данным комплексом нейроигр и упражнений вы можете познакомиться в приложении.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«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Тропинка здоровья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»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 с использованием нейроигр и упражнений.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</w: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2642" cy="3873147"/>
                <wp:effectExtent l="0" t="0" r="0" b="0"/>
                <wp:docPr id="2" name="Рисунок 6" descr="C:\Users\User\Desktop\Новая папка (2)\IMG_20211101_1057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Новая папка (2)\IMG_20211101_1057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0" r="23706" b="0"/>
                        <a:stretch/>
                      </pic:blipFill>
                      <pic:spPr bwMode="auto">
                        <a:xfrm>
                          <a:off x="0" y="0"/>
                          <a:ext cx="6652165" cy="41338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0.76pt;height:304.97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Пояснительная записка.</w:t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Целью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комплекса нейроигр и упражнений представленных в «Тропинке здоровья» является: синхронизация работы двух полушарий.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Задачи:</w:t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-сформировать зрительно-моторные координации, переключаемость, скорость реакции;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 способствовать развитию чувства ритма, темпа;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-способствовать формированию пространственных представлений;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-способствовать развитию психических процессов: внимания, мышления, памяти;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-развивать способность к обучению, усвоению определённой информации;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left="284" w:right="141" w:hanging="284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-обеспечивать позитивное эмоционально-личностное развитие дошкольников.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«Тропинка здоровья» включает в себя комплекс нейроигр и упражнений, предназначена для детей старшего дошкольного возраста и может быть использована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индивидуальной и подгрупповой работе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 формированию элементарных математических представлений по физическому развитию.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shd w:val="clear" w:color="auto" w:fill="ffffff"/>
        <w:tabs>
          <w:tab w:val="num" w:pos="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shd w:val="clear" w:color="auto" w:fill="ffffff"/>
        <w:tabs>
          <w:tab w:val="num" w:pos="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Многофункциональность представленного комплекса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shd w:val="clear" w:color="auto" w:fill="ffffff"/>
        <w:tabs>
          <w:tab w:val="num" w:pos="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-позволяет организовать коррекционно-развивающий процесс в нетрадиционной форме;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shd w:val="clear" w:color="auto" w:fill="ffffff"/>
        <w:tabs>
          <w:tab w:val="num" w:pos="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позволяет сосредоточиться на нескольких действиях одновременно, что способствует образованию новых нейронных связей и запускает работу моторной и сенсорной сферы;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shd w:val="clear" w:color="auto" w:fill="ffffff"/>
        <w:tabs>
          <w:tab w:val="num" w:pos="0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-является эффективным средством профилактики и коррекции нарушений чтения и письма;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-помогает педагогу выстроить коррекционный процесс от простого к сложному с учётом особенностей и способностей каждого ребенка;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-создаёт эмоционально-положительного фон занятий, повышают интерес ребенка к обучению;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-может быть использовано на занятиях по  формированию элементарных математических представлений, физическому развитию.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-позволяет внедрить деятельностный подход в коррекционный процесс;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-привлекает детей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 самостоятельной деятельности.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Нейроупражнение «С кочки на кочку»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общей моторики, координации движения, чувства равновесия; мыслительной деятельности; предупреждение плоскостопия. Закрепление  понимания отношения между числами от 0 до 9 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>
        <w:rPr>
          <w:rFonts w:ascii="Times New Roman" w:hAnsi="Times New Roman" w:cs="Times New Roman"/>
          <w:sz w:val="28"/>
          <w:szCs w:val="28"/>
        </w:rPr>
        <w:t xml:space="preserve">Балансировочная подушка условно обозначает знак больше, массажный коврик - знак меньше. Ребёнок,  наступая на кочку, называет число, которое предлагает педагог и решает неравенство. Например: 5 больше 4 (кочка); 3 меньше 2 (коврик)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02727" cy="1803400"/>
                <wp:effectExtent l="0" t="0" r="0" b="0"/>
                <wp:docPr id="3" name="Рисунок 2" descr="C:\Users\User\Desktop\Новая папка (2)\IMG_20211101_09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esktop\Новая папка (2)\IMG_20211101_0920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19289" r="0" b="0"/>
                        <a:stretch/>
                      </pic:blipFill>
                      <pic:spPr bwMode="auto">
                        <a:xfrm flipH="1">
                          <a:off x="0" y="0"/>
                          <a:ext cx="1710635" cy="1811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34.07pt;height:142.00pt;mso-wrap-distance-left:0.00pt;mso-wrap-distance-top:0.00pt;mso-wrap-distance-right:0.00pt;mso-wrap-distance-bottom:0.00pt;flip:x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Нейроигра «Кубики-ладошки»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внимания, памяти, скорости реакции, мелкой моторики; закрепление умения решать примеры на сложение и вычитание.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Ребёнок в левую руку берёт кубик с жестами, а в правую два кубика с цифрами. Одновременно двумя руками выкидывает кубики и показывает левой рукой жест, а правой сумму или разность  двух чисел.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1000" cy="1687100"/>
                <wp:effectExtent l="0" t="0" r="0" b="0"/>
                <wp:docPr id="4" name="Рисунок 9" descr="C:\Users\User\Desktop\фото для конкурса\IMG_20211022_105726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Desktop\фото для конкурса\IMG_20211022_105726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21543" r="0" b="29985"/>
                        <a:stretch/>
                      </pic:blipFill>
                      <pic:spPr bwMode="auto">
                        <a:xfrm>
                          <a:off x="0" y="0"/>
                          <a:ext cx="1659043" cy="16953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0.00pt;height:132.8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Нейроупражнение «Лестница»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крупной моторики; пространственной ориентации; координации движений; скоростных навыков на коротких дистанциях; самоконтроля; </w:t>
      </w:r>
      <w:r>
        <w:rPr>
          <w:rFonts w:ascii="Times New Roman" w:hAnsi="Times New Roman" w:cs="Times New Roman"/>
          <w:sz w:val="28"/>
          <w:szCs w:val="28"/>
        </w:rPr>
        <w:t xml:space="preserve">моторного планирования; внимания; мыслительной деятельности. Закрепление представления о цифрах; понятиях право- лево.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В каждой клетке лестницы в правом или левом углу лежит карточка с цифрой.</w:t>
      </w:r>
      <w:r>
        <w:rPr>
          <w:rFonts w:ascii="Times New Roman" w:hAnsi="Times New Roman" w:cs="Times New Roman"/>
          <w:sz w:val="28"/>
          <w:szCs w:val="28"/>
        </w:rPr>
        <w:t xml:space="preserve"> Ребёнок, продвигаясь вперёд по лестнице прыжками (ноги вместе – прыжок в клетку, ноги врозь – прыжок за клеткой) называет и показывает жестами цифры. Если цифра лежит в правом углу, то цифру ребёнок  показывает правой рукой, если в левом, то левой рукой.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17398" cy="2783936"/>
                <wp:effectExtent l="0" t="0" r="0" b="0"/>
                <wp:docPr id="5" name="Рисунок 3" descr="C:\Users\User\Desktop\Новая папка (2)\IMG_20211101_0901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esktop\Новая папка (2)\IMG_20211101_0901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29315" cy="28091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03.73pt;height:219.21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Нейроигра  «Рамка- вкладыш»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пространственной ориентации; точной координации движений; равновесия; самоконтроля; мелкой моторики; внимания, памяти, мышления. Закрепление знаний о геометрических фигурах, цветах.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>
        <w:rPr>
          <w:rFonts w:ascii="Times New Roman" w:hAnsi="Times New Roman" w:cs="Times New Roman"/>
          <w:sz w:val="28"/>
          <w:szCs w:val="28"/>
        </w:rPr>
        <w:t xml:space="preserve">На карточке с цифрами закрепляют</w:t>
      </w:r>
      <w:r>
        <w:rPr>
          <w:rFonts w:ascii="Times New Roman" w:hAnsi="Times New Roman" w:cs="Times New Roman"/>
          <w:sz w:val="28"/>
          <w:szCs w:val="28"/>
        </w:rPr>
        <w:t xml:space="preserve">ся  геометрические фигуры. Ребёнок бросает мешочек с геометрической фигурой такого же цвета на ту цифру на планшете, напротив которой закреплена эта фигура. Ребенок выполняет задания, одновременно пытаясь удержать равновесие, стоя на балансировочной доске.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22360" cy="1524000"/>
                <wp:effectExtent l="0" t="0" r="0" b="0"/>
                <wp:docPr id="6" name="Рисунок 4" descr="C:\Users\User\Desktop\Новая папка (2)\IMG_20211101_094034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esktop\Новая папка (2)\IMG_20211101_094034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18906" t="0" r="11979" b="0"/>
                        <a:stretch/>
                      </pic:blipFill>
                      <pic:spPr bwMode="auto">
                        <a:xfrm>
                          <a:off x="0" y="0"/>
                          <a:ext cx="2236229" cy="1533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74.99pt;height:120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Нейроупражнение «Солнышко»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пространственной ориентации; точной координации движений;  самоконтроля; мелкой моторики; внимания, памяти, мышления; предупреждение плоскостопия. Закрепление умения устанавливать соответствие между количеством предметов и цифрой.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Между лучами солнца находятся разноцв</w:t>
      </w:r>
      <w:r>
        <w:rPr>
          <w:rFonts w:ascii="Times New Roman" w:hAnsi="Times New Roman" w:cs="Times New Roman"/>
          <w:sz w:val="28"/>
          <w:szCs w:val="28"/>
        </w:rPr>
        <w:t xml:space="preserve">етные цифры, массажные коврики, помпоны.  Ребёнок становится на коврик и пинцетом выкладывает на цифру помпоны такое количество, какое обозначает цифра. Цвет помпонов должен соответствовать цвету коврика. Сложность в том, что цифра и коврик разного цвета.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71373" cy="1498600"/>
                <wp:effectExtent l="0" t="0" r="0" b="0"/>
                <wp:docPr id="7" name="Рисунок 6" descr="C:\Users\User\Desktop\Новая папка (2)\IMG_20211101_092639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esktop\Новая папка (2)\IMG_20211101_092639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12155" t="0" r="9944" b="0"/>
                        <a:stretch/>
                      </pic:blipFill>
                      <pic:spPr bwMode="auto">
                        <a:xfrm>
                          <a:off x="0" y="0"/>
                          <a:ext cx="2493725" cy="1512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94.60pt;height:118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0" cy="1743005"/>
                <wp:effectExtent l="0" t="0" r="0" b="0"/>
                <wp:docPr id="8" name="Рисунок 7" descr="C:\Users\User\Desktop\Новая папка (2)\IMG_20211101_0932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er\Desktop\Новая папка (2)\IMG_20211101_09320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0" b="10976"/>
                        <a:stretch/>
                      </pic:blipFill>
                      <pic:spPr bwMode="auto">
                        <a:xfrm>
                          <a:off x="0" y="0"/>
                          <a:ext cx="1229817" cy="17581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96.00pt;height:137.24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Нейроигра «Разноцветные перчатки»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точной координации движений;  самоконтроля; мелкой моторики; внимания, памяти, мышления; закрепление знаний состава чисел первого и второго десятка.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Перед ребёнком две перчатки с разноцветными пальчиками и цифрами. К каждой перчатке прилагаются куб</w:t>
      </w:r>
      <w:r>
        <w:rPr>
          <w:rFonts w:ascii="Times New Roman" w:hAnsi="Times New Roman" w:cs="Times New Roman"/>
          <w:sz w:val="28"/>
          <w:szCs w:val="28"/>
        </w:rPr>
        <w:t xml:space="preserve">ики, соответствующие  цветам и цифрам  пальчиков. Педагог предлагает определить состав заданного числа. Ребёнок должен одновременно двумя руками поставить на перчатки  кубики одинаковые с пальчиками цвета, которые обозначают  цифры состава заданного числа.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52150" cy="1473200"/>
                <wp:effectExtent l="0" t="0" r="0" b="0"/>
                <wp:docPr id="9" name="Рисунок 8" descr="C:\Users\User\Desktop\Новая папка (2)\IMG_20211101_1041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esktop\Новая папка (2)\IMG_20211101_1041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13168" t="0" r="17698" b="0"/>
                        <a:stretch/>
                      </pic:blipFill>
                      <pic:spPr bwMode="auto">
                        <a:xfrm>
                          <a:off x="0" y="0"/>
                          <a:ext cx="2166672" cy="1483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69.46pt;height:116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93955" cy="1365885"/>
                <wp:effectExtent l="0" t="0" r="0" b="0"/>
                <wp:docPr id="10" name="Рисунок 9" descr="C:\Users\User\Desktop\Новая папка (2)\IMG_20211101_10412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Desktop\Новая папка (2)\IMG_20211101_104127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8085" t="0" r="16357" b="0"/>
                        <a:stretch/>
                      </pic:blipFill>
                      <pic:spPr bwMode="auto">
                        <a:xfrm>
                          <a:off x="0" y="0"/>
                          <a:ext cx="2208445" cy="13749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72.75pt;height:107.5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Нейроупражнение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«Весёлая гусеница»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крупной моторики; пространственной ориентации; координации движений; скоростных навыков на коротких дистанциях; самоконтроля; моторного планирования; внимания; мыслительной деятельности. Закрепление навыков счёта, понятия лево, право.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Продвигаясь вперёд прыжками, ребёнок меняет правую и левую ногу( в зависимости от изображения на гусенице) одновременно выполняет арифметические действия. На кружочке  с двумя ногами называет сумму или разность чисел.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4600" cy="2122202"/>
                <wp:effectExtent l="0" t="0" r="0" b="0"/>
                <wp:docPr id="11" name="Рисунок 10" descr="C:\Users\User\Desktop\Новая папка (2)\IMG_20211101_094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User\Desktop\Новая папка (2)\IMG_20211101_0949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48478" cy="21288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98.00pt;height:167.1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7300" cy="2180485"/>
                <wp:effectExtent l="0" t="0" r="0" b="0"/>
                <wp:docPr id="12" name="Рисунок 19" descr="C:\Users\User\Desktop\фото для конкурса\IMG_20211022_1328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User\Desktop\фото для конкурса\IMG_20211022_1328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18014" r="0" b="0"/>
                        <a:stretch/>
                      </pic:blipFill>
                      <pic:spPr bwMode="auto">
                        <a:xfrm>
                          <a:off x="0" y="0"/>
                          <a:ext cx="1267940" cy="2198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99.00pt;height:171.69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Нейроупражнение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«Умные пенёчки 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пространственной ориентации; точной координации движений;  самоконтроля; внимания, памяти, мышления; предупреждение плоскостопия.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Закрепление порядкового счёта, понятий: лево, право, вперёд, назад.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>
        <w:rPr>
          <w:rFonts w:ascii="Times New Roman" w:hAnsi="Times New Roman" w:cs="Times New Roman"/>
          <w:sz w:val="28"/>
          <w:szCs w:val="28"/>
        </w:rPr>
        <w:t xml:space="preserve">На пенёчках  стрелки, которые показывают разное направление. Ребёнок делает шаг в том направлении, куда показывает стрелка и цифра, считая по порядку.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3140" cy="2184400"/>
                <wp:effectExtent l="0" t="0" r="0" b="0"/>
                <wp:docPr id="13" name="Рисунок 11" descr="C:\Users\User\Desktop\Новая папка (2)\IMG_20211101_1103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User\Desktop\Новая папка (2)\IMG_20211101_11033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13150" r="0" b="15596"/>
                        <a:stretch/>
                      </pic:blipFill>
                      <pic:spPr bwMode="auto">
                        <a:xfrm>
                          <a:off x="0" y="0"/>
                          <a:ext cx="1474593" cy="22166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14.42pt;height:172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Нейроупражнение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«Скакалка»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крупной моторики; координации, ловкости, концентрации, выносливости, внимания; закрепление порядкового счёта в прямом и обратном порядке; закрепление представлений о днях недели.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>
        <w:rPr>
          <w:rFonts w:ascii="Times New Roman" w:hAnsi="Times New Roman" w:cs="Times New Roman"/>
          <w:sz w:val="28"/>
          <w:szCs w:val="28"/>
        </w:rPr>
        <w:t xml:space="preserve">Прыгая  на нейроскакалке,  ребёнок считает в прямом и обратном порядке;  называет дни недели.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0800" cy="1636378"/>
                <wp:effectExtent l="0" t="0" r="0" b="0"/>
                <wp:docPr id="14" name="Рисунок 4" descr="C:\Users\User\Desktop\фото для конкурса\IMG_20211022_1345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esktop\фото для конкурса\IMG_20211022_13455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13630" t="0" r="11426" b="0"/>
                        <a:stretch/>
                      </pic:blipFill>
                      <pic:spPr bwMode="auto">
                        <a:xfrm>
                          <a:off x="0" y="0"/>
                          <a:ext cx="2614057" cy="16510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04.00pt;height:128.8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right="141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Style w:val="657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</w:r>
    </w:p>
    <w:p>
      <w:pPr>
        <w:pStyle w:val="657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440" w:right="1080" w:bottom="1440" w:left="1080" w:header="709" w:footer="709" w:gutter="0"/>
      <w:pgBorders w:display="allPages" w:offsetFrom="page" w:zOrder="front">
        <w:bottom w:color="002060" w:space="24" w:sz="4" w:val="single"/>
        <w:left w:color="002060" w:space="24" w:sz="4" w:val="single"/>
        <w:right w:color="002060" w:space="24" w:sz="4" w:val="single"/>
        <w:top w:color="002060" w:space="24" w:sz="4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61"/>
    <w:uiPriority w:val="99"/>
  </w:style>
  <w:style w:type="character" w:styleId="45">
    <w:name w:val="Footer Char"/>
    <w:basedOn w:val="654"/>
    <w:link w:val="663"/>
    <w:uiPriority w:val="99"/>
  </w:style>
  <w:style w:type="paragraph" w:styleId="46">
    <w:name w:val="Caption"/>
    <w:basedOn w:val="653"/>
    <w:next w:val="653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54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Normal (Web)"/>
    <w:basedOn w:val="65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58">
    <w:name w:val="Emphasis"/>
    <w:basedOn w:val="654"/>
    <w:uiPriority w:val="20"/>
    <w:qFormat/>
    <w:rPr>
      <w:i/>
      <w:iCs/>
    </w:rPr>
  </w:style>
  <w:style w:type="paragraph" w:styleId="659">
    <w:name w:val="Balloon Text"/>
    <w:basedOn w:val="653"/>
    <w:link w:val="66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60" w:customStyle="1">
    <w:name w:val="Текст выноски Знак"/>
    <w:basedOn w:val="654"/>
    <w:link w:val="659"/>
    <w:uiPriority w:val="99"/>
    <w:semiHidden/>
    <w:rPr>
      <w:rFonts w:ascii="Tahoma" w:hAnsi="Tahoma" w:cs="Tahoma"/>
      <w:sz w:val="16"/>
      <w:szCs w:val="16"/>
    </w:rPr>
  </w:style>
  <w:style w:type="paragraph" w:styleId="661">
    <w:name w:val="Header"/>
    <w:basedOn w:val="653"/>
    <w:link w:val="662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2" w:customStyle="1">
    <w:name w:val="Верхний колонтитул Знак"/>
    <w:basedOn w:val="654"/>
    <w:link w:val="661"/>
    <w:uiPriority w:val="99"/>
    <w:semiHidden/>
  </w:style>
  <w:style w:type="paragraph" w:styleId="663">
    <w:name w:val="Footer"/>
    <w:basedOn w:val="653"/>
    <w:link w:val="664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4" w:customStyle="1">
    <w:name w:val="Нижний колонтитул Знак"/>
    <w:basedOn w:val="654"/>
    <w:link w:val="663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Елена Степанова</cp:lastModifiedBy>
  <cp:revision>34</cp:revision>
  <dcterms:created xsi:type="dcterms:W3CDTF">2023-02-24T18:25:00Z</dcterms:created>
  <dcterms:modified xsi:type="dcterms:W3CDTF">2025-11-05T04:41:39Z</dcterms:modified>
</cp:coreProperties>
</file>