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D3" w:rsidRDefault="00713AD3" w:rsidP="0011205E">
      <w:pPr>
        <w:jc w:val="center"/>
      </w:pPr>
      <w:r>
        <w:t>Excursus normativo dell’autonomia</w:t>
      </w:r>
      <w:r w:rsidR="008B2A9E">
        <w:t>: dalla Costituzione alle norme di settore</w:t>
      </w:r>
    </w:p>
    <w:p w:rsidR="00A35C70" w:rsidRPr="00A35C70" w:rsidRDefault="00A35C70">
      <w:pPr>
        <w:rPr>
          <w:b/>
        </w:rPr>
      </w:pPr>
      <w:r>
        <w:rPr>
          <w:b/>
        </w:rPr>
        <w:t>A</w:t>
      </w:r>
      <w:r w:rsidRPr="00A35C70">
        <w:rPr>
          <w:b/>
        </w:rPr>
        <w:t>ssetto costi</w:t>
      </w:r>
      <w:r>
        <w:rPr>
          <w:b/>
        </w:rPr>
        <w:t>t</w:t>
      </w:r>
      <w:r w:rsidRPr="00A35C70">
        <w:rPr>
          <w:b/>
        </w:rPr>
        <w:t xml:space="preserve">uzionale </w:t>
      </w:r>
    </w:p>
    <w:p w:rsidR="0050677B" w:rsidRPr="00D946C9" w:rsidRDefault="00D946C9" w:rsidP="0050677B">
      <w:pPr>
        <w:pStyle w:val="Paragrafoelenco"/>
        <w:numPr>
          <w:ilvl w:val="0"/>
          <w:numId w:val="3"/>
        </w:numPr>
        <w:rPr>
          <w:b/>
        </w:rPr>
      </w:pPr>
      <w:r w:rsidRPr="00D946C9">
        <w:rPr>
          <w:b/>
        </w:rPr>
        <w:t>P</w:t>
      </w:r>
      <w:r w:rsidR="0006106D" w:rsidRPr="00D946C9">
        <w:rPr>
          <w:b/>
        </w:rPr>
        <w:t>rincipi fondamentali</w:t>
      </w:r>
      <w:r w:rsidR="0050677B" w:rsidRPr="00D946C9">
        <w:rPr>
          <w:b/>
        </w:rPr>
        <w:t xml:space="preserve">: </w:t>
      </w:r>
    </w:p>
    <w:p w:rsidR="0050677B" w:rsidRDefault="00F6708D" w:rsidP="0050677B">
      <w:pPr>
        <w:pStyle w:val="Paragrafoelenco"/>
        <w:numPr>
          <w:ilvl w:val="0"/>
          <w:numId w:val="1"/>
        </w:numPr>
      </w:pPr>
      <w:r>
        <w:t>l’art. 3 per eguaglianza sostanziale e formale dei cittadini dinanzi alla legge,</w:t>
      </w:r>
    </w:p>
    <w:p w:rsidR="0050677B" w:rsidRDefault="00F6708D" w:rsidP="0050677B">
      <w:pPr>
        <w:pStyle w:val="Paragrafoelenco"/>
        <w:numPr>
          <w:ilvl w:val="0"/>
          <w:numId w:val="1"/>
        </w:numPr>
      </w:pPr>
      <w:r>
        <w:t>l’art. 5 legato al principio del decentramento dello stato;</w:t>
      </w:r>
    </w:p>
    <w:p w:rsidR="0050677B" w:rsidRDefault="00F6708D" w:rsidP="0050677B">
      <w:pPr>
        <w:pStyle w:val="Paragrafoelenco"/>
        <w:numPr>
          <w:ilvl w:val="0"/>
          <w:numId w:val="1"/>
        </w:numPr>
      </w:pPr>
      <w:r>
        <w:t xml:space="preserve"> l’art. 9 l’Italia come stato di cultura;</w:t>
      </w:r>
    </w:p>
    <w:p w:rsidR="0050677B" w:rsidRPr="00A35C70" w:rsidRDefault="0050677B" w:rsidP="0050677B">
      <w:pPr>
        <w:pStyle w:val="Paragrafoelenco"/>
        <w:numPr>
          <w:ilvl w:val="0"/>
          <w:numId w:val="3"/>
        </w:numPr>
        <w:rPr>
          <w:b/>
        </w:rPr>
      </w:pPr>
      <w:r w:rsidRPr="00A35C70">
        <w:rPr>
          <w:b/>
        </w:rPr>
        <w:t xml:space="preserve">Prima parte diritti e doveri dei cittadini: </w:t>
      </w:r>
    </w:p>
    <w:p w:rsidR="0050677B" w:rsidRDefault="00F6708D" w:rsidP="0050677B">
      <w:pPr>
        <w:pStyle w:val="Paragrafoelenco"/>
        <w:numPr>
          <w:ilvl w:val="0"/>
          <w:numId w:val="1"/>
        </w:numPr>
      </w:pPr>
      <w:r>
        <w:t xml:space="preserve"> l’art. 33 libertà per la libertà di ricerca e di insegnamento;</w:t>
      </w:r>
    </w:p>
    <w:p w:rsidR="0050677B" w:rsidRDefault="00F6708D" w:rsidP="0050677B">
      <w:pPr>
        <w:pStyle w:val="Paragrafoelenco"/>
        <w:numPr>
          <w:ilvl w:val="0"/>
          <w:numId w:val="1"/>
        </w:numPr>
      </w:pPr>
      <w:r>
        <w:t xml:space="preserve"> l’art. 34 l’obbligo di istruzione dirotto di accesso e frequenza e rimozione degli ostacoli; </w:t>
      </w:r>
    </w:p>
    <w:p w:rsidR="0050677B" w:rsidRPr="00A35C70" w:rsidRDefault="0050677B" w:rsidP="00A35C70">
      <w:pPr>
        <w:pStyle w:val="Paragrafoelenco"/>
        <w:numPr>
          <w:ilvl w:val="0"/>
          <w:numId w:val="3"/>
        </w:numPr>
        <w:rPr>
          <w:b/>
        </w:rPr>
      </w:pPr>
      <w:r w:rsidRPr="00A35C70">
        <w:rPr>
          <w:b/>
        </w:rPr>
        <w:t>Seconda parte ordinamento della repubblica</w:t>
      </w:r>
    </w:p>
    <w:p w:rsidR="0050677B" w:rsidRDefault="0050677B" w:rsidP="0050677B">
      <w:pPr>
        <w:pStyle w:val="Paragrafoelenco"/>
      </w:pPr>
      <w:r>
        <w:t>Titolo I Parlamento</w:t>
      </w:r>
    </w:p>
    <w:p w:rsidR="0050677B" w:rsidRDefault="0050677B" w:rsidP="0050677B">
      <w:pPr>
        <w:pStyle w:val="Paragrafoelenco"/>
      </w:pPr>
      <w:r>
        <w:t xml:space="preserve">Titolo II Presidente della repubblica </w:t>
      </w:r>
    </w:p>
    <w:p w:rsidR="0050677B" w:rsidRDefault="0050677B" w:rsidP="0050677B">
      <w:pPr>
        <w:pStyle w:val="Paragrafoelenco"/>
      </w:pPr>
      <w:r>
        <w:t>Titolo III Governo</w:t>
      </w:r>
    </w:p>
    <w:p w:rsidR="0050677B" w:rsidRDefault="0050677B" w:rsidP="0050677B">
      <w:pPr>
        <w:pStyle w:val="Paragrafoelenco"/>
      </w:pPr>
      <w:r>
        <w:t>Titolo IV Magistratura</w:t>
      </w:r>
    </w:p>
    <w:p w:rsidR="0050677B" w:rsidRDefault="0050677B" w:rsidP="0050677B">
      <w:pPr>
        <w:pStyle w:val="Paragrafoelenco"/>
      </w:pPr>
      <w:r>
        <w:t xml:space="preserve">Titolo V regioni province comuni e città metropolitane </w:t>
      </w:r>
    </w:p>
    <w:p w:rsidR="0050677B" w:rsidRDefault="0050677B" w:rsidP="0050677B">
      <w:pPr>
        <w:pStyle w:val="Paragrafoelenco"/>
      </w:pPr>
      <w:r>
        <w:t>Titolo VI Garanzie costituzionale</w:t>
      </w:r>
    </w:p>
    <w:p w:rsidR="0050677B" w:rsidRDefault="0050677B" w:rsidP="0050677B">
      <w:pPr>
        <w:pStyle w:val="Paragrafoelenco"/>
      </w:pPr>
      <w:r>
        <w:t xml:space="preserve">Relativamente al titolo V: </w:t>
      </w:r>
    </w:p>
    <w:p w:rsidR="0050677B" w:rsidRDefault="00F6708D" w:rsidP="0050677B">
      <w:pPr>
        <w:pStyle w:val="Paragrafoelenco"/>
        <w:numPr>
          <w:ilvl w:val="0"/>
          <w:numId w:val="1"/>
        </w:numPr>
      </w:pPr>
      <w:r>
        <w:t>l’art. 97 obbligo di organizzare i pubblici uffici per organizzare il buon andamento e l’imparzialità;</w:t>
      </w:r>
    </w:p>
    <w:p w:rsidR="0050677B" w:rsidRDefault="00F6708D" w:rsidP="0050677B">
      <w:pPr>
        <w:pStyle w:val="Paragrafoelenco"/>
        <w:numPr>
          <w:ilvl w:val="0"/>
          <w:numId w:val="1"/>
        </w:numPr>
      </w:pPr>
      <w:r>
        <w:t xml:space="preserve">l’art. 114 relativo agli enti autonomi con propri statuti poteri e funzioni secondo principi fissati dalla costituzione; </w:t>
      </w:r>
    </w:p>
    <w:p w:rsidR="00F6708D" w:rsidRDefault="00F6708D" w:rsidP="0050677B">
      <w:pPr>
        <w:pStyle w:val="Paragrafoelenco"/>
        <w:numPr>
          <w:ilvl w:val="0"/>
          <w:numId w:val="1"/>
        </w:numPr>
      </w:pPr>
      <w:r>
        <w:t xml:space="preserve">art. 117 podestà legislativa degli enti locali </w:t>
      </w:r>
    </w:p>
    <w:p w:rsidR="00A35C70" w:rsidRDefault="00A35C70" w:rsidP="00A35C70">
      <w:pPr>
        <w:pStyle w:val="Paragrafoelenco"/>
      </w:pPr>
      <w:r>
        <w:t xml:space="preserve">La </w:t>
      </w:r>
      <w:r w:rsidRPr="00A35C70">
        <w:rPr>
          <w:b/>
        </w:rPr>
        <w:t>legge costituzionale 3/2001</w:t>
      </w:r>
      <w:r>
        <w:t xml:space="preserve"> ha modificato il titolo V della seconda parte della costituzione novellando l’art. 117 che ha ridefinito la suddivisione della potestà legislativa tra stato e regioni. </w:t>
      </w:r>
    </w:p>
    <w:p w:rsidR="00A35C70" w:rsidRDefault="00A35C70" w:rsidP="00A35C70">
      <w:pPr>
        <w:rPr>
          <w:b/>
        </w:rPr>
      </w:pPr>
      <w:r w:rsidRPr="00A35C70">
        <w:rPr>
          <w:b/>
        </w:rPr>
        <w:t xml:space="preserve">Normativa di settore </w:t>
      </w:r>
      <w:r w:rsidR="00A90607">
        <w:rPr>
          <w:b/>
        </w:rPr>
        <w:t xml:space="preserve">e di diritto amministrativo </w:t>
      </w:r>
    </w:p>
    <w:p w:rsidR="009C1BF1" w:rsidRDefault="009C1BF1" w:rsidP="00A35C70">
      <w:pPr>
        <w:rPr>
          <w:b/>
        </w:rPr>
      </w:pPr>
      <w:r>
        <w:rPr>
          <w:b/>
        </w:rPr>
        <w:t>Dagli Anni ’70 agli anni ’90:</w:t>
      </w:r>
    </w:p>
    <w:p w:rsidR="00186EFD" w:rsidRDefault="00186EFD" w:rsidP="00186EFD">
      <w:pPr>
        <w:pStyle w:val="Paragrafoelenco"/>
        <w:ind w:left="0"/>
        <w:jc w:val="both"/>
      </w:pPr>
      <w:r>
        <w:t xml:space="preserve">Fino agli anni ’60 il sistema scolastico non riconosceva un ruolo istituzionale a genitori e studenti. Con la legge delega 477/1973 si istituiscono gli organi collegiali attuati dai D.P.R. n. 416,417,419,420 ovvero i decreti delegati. Essi sanciscono, a livello di singola istituzione scolastica, l’affiancamento del consiglio di circolo o istituto al direttore didattico o preside; a livello provinciale il consiglio scolastico provinciale (CSP) al provveditorato agli studi; a livello nazionale, il consiglio nazionale della pubblica istruzione (CNPI) al ministero. </w:t>
      </w:r>
    </w:p>
    <w:p w:rsidR="00186EFD" w:rsidRDefault="00186EFD" w:rsidP="00186EFD">
      <w:pPr>
        <w:pStyle w:val="Paragrafoelenco"/>
        <w:ind w:left="0"/>
        <w:jc w:val="both"/>
      </w:pPr>
      <w:r>
        <w:t xml:space="preserve">Con la caduta del muro di Berlino e l’inizio della globalizzazione nasce la COMPLESSITA’ SOCIALE ampiamente dimostrata dalle neuroscienze.  Tale complessità esige un’organizzazione che prevede l’ottimizzazione delle risorse interne ed esterne, la flessibilità dell’azione organizzativa, la capacità di autoanalisi e la possibilità di rideterminazioni immediate in ordine ai percorsi da intraprendere per garantire sempre efficienza agli strumenti, efficacia ai risultati e qualità al servizio scolastico, il tutto consentito solo da una ricerca costante. Si tratta di adottare i suggerimenti desunti dalle scienze dell’organizzazione, con fondamento di apprendimento organizzativo continuo. Ciò è stato possibile, a partire dagli inizi degli anni ’90 con la Legge 241/90 </w:t>
      </w:r>
      <w:proofErr w:type="gramStart"/>
      <w:r>
        <w:t xml:space="preserve">( </w:t>
      </w:r>
      <w:proofErr w:type="spellStart"/>
      <w:r>
        <w:t>Cassese</w:t>
      </w:r>
      <w:proofErr w:type="spellEnd"/>
      <w:proofErr w:type="gramEnd"/>
      <w:r>
        <w:t xml:space="preserve"> legge sul decentramento amministrativo) con cui si avvia un processo di democratizzazione della res pubblica , che considera l’individuo non più come suddito ma come cittadino avente  diritti nei confronti della PA.  Legge 241/90 quando la scuola da sistema rigido e legato a prescrizioni centrali si è caratterizzata come scuola a servizio del cittadino. </w:t>
      </w:r>
    </w:p>
    <w:p w:rsidR="00186EFD" w:rsidRDefault="00186EFD" w:rsidP="00A90607">
      <w:pPr>
        <w:shd w:val="clear" w:color="auto" w:fill="FFFFFF"/>
        <w:spacing w:after="0" w:line="240" w:lineRule="auto"/>
      </w:pPr>
    </w:p>
    <w:p w:rsidR="00A90607" w:rsidRPr="00D47EA9" w:rsidRDefault="00A90607" w:rsidP="00A90607">
      <w:pPr>
        <w:shd w:val="clear" w:color="auto" w:fill="FFFFFF"/>
        <w:spacing w:after="0" w:line="240" w:lineRule="auto"/>
      </w:pPr>
      <w:r w:rsidRPr="00D47EA9">
        <w:lastRenderedPageBreak/>
        <w:t>Agli inizi degli anni novanta uno dei principali problemi del sistema scolastico era rappresentato</w:t>
      </w:r>
      <w:r>
        <w:t xml:space="preserve"> </w:t>
      </w:r>
      <w:r w:rsidRPr="00D47EA9">
        <w:t xml:space="preserve">dall’eccessiva burocrazia dovuta al perdurante accentramento di funzioni in capo all’amministrazione statale. </w:t>
      </w:r>
    </w:p>
    <w:p w:rsidR="00A90607" w:rsidRPr="00D47EA9" w:rsidRDefault="00A90607" w:rsidP="00A90607">
      <w:pPr>
        <w:shd w:val="clear" w:color="auto" w:fill="FFFFFF"/>
        <w:spacing w:after="0" w:line="240" w:lineRule="auto"/>
      </w:pPr>
      <w:r w:rsidRPr="00D47EA9">
        <w:t xml:space="preserve">La distribuzione delle competenze in materia scolastica che si è andata delineando, dopo i decreti delegati </w:t>
      </w:r>
    </w:p>
    <w:p w:rsidR="00A90607" w:rsidRPr="00D47EA9" w:rsidRDefault="00A90607" w:rsidP="00A90607">
      <w:pPr>
        <w:shd w:val="clear" w:color="auto" w:fill="FFFFFF"/>
        <w:spacing w:after="0" w:line="240" w:lineRule="auto"/>
      </w:pPr>
      <w:r w:rsidRPr="00D47EA9">
        <w:t>degli anni settanta, riservava agli organi centrali e periferici dello stato ancora numerose competenze, finendo per comprimere il principio del decentramento regionale che si andava affermando.</w:t>
      </w:r>
    </w:p>
    <w:p w:rsidR="00A90607" w:rsidRPr="00D47EA9" w:rsidRDefault="00A90607" w:rsidP="00A90607">
      <w:pPr>
        <w:shd w:val="clear" w:color="auto" w:fill="FFFFFF"/>
        <w:spacing w:after="0" w:line="240" w:lineRule="auto"/>
      </w:pPr>
      <w:r w:rsidRPr="00D47EA9">
        <w:t xml:space="preserve">Da qui è scaturita l’esigenza di un intervento del legislatore, attraverso una ridefinizione complessiva dei </w:t>
      </w:r>
    </w:p>
    <w:p w:rsidR="00A90607" w:rsidRPr="00D47EA9" w:rsidRDefault="00A90607" w:rsidP="00A90607">
      <w:pPr>
        <w:shd w:val="clear" w:color="auto" w:fill="FFFFFF"/>
        <w:spacing w:after="0" w:line="240" w:lineRule="auto"/>
      </w:pPr>
      <w:r w:rsidRPr="00D47EA9">
        <w:t xml:space="preserve">rapporti tra centro e periferia, che riconoscesse alle regioni tutte le competenze necessarie a garantire </w:t>
      </w:r>
    </w:p>
    <w:p w:rsidR="002A1AB3" w:rsidRDefault="00A90607" w:rsidP="00A90607">
      <w:pPr>
        <w:shd w:val="clear" w:color="auto" w:fill="FFFFFF"/>
        <w:spacing w:after="0" w:line="240" w:lineRule="auto"/>
      </w:pPr>
      <w:r w:rsidRPr="00D47EA9">
        <w:t xml:space="preserve">l’indispensabile raccordo tra scuola e </w:t>
      </w:r>
      <w:r>
        <w:t xml:space="preserve">enti </w:t>
      </w:r>
      <w:r w:rsidRPr="00D47EA9">
        <w:t>locali.</w:t>
      </w:r>
      <w:r>
        <w:t xml:space="preserve"> </w:t>
      </w:r>
    </w:p>
    <w:p w:rsidR="00A90607" w:rsidRDefault="00A90607" w:rsidP="00A90607">
      <w:pPr>
        <w:shd w:val="clear" w:color="auto" w:fill="FFFFFF"/>
        <w:spacing w:after="0" w:line="240" w:lineRule="auto"/>
      </w:pPr>
      <w:r>
        <w:t>Il progetto che segnerà una svolta, e verrà successivamente ripreso, è il progetto di legge del 19 gennaio 1989 n. 1531 ad iniziativa dell’allora ministro della pubblica istruzione Galloni (“Norme sull’autonomia delle scuole, sugli organi collegiali e sull’amministrazione centrale e periferica della pubblica istruzione”) in cui per la prima volta prende decisamente forma l’idea di un sistema di competenze amministrative nella gestione dell’istruzione a tre livelli:</w:t>
      </w:r>
    </w:p>
    <w:p w:rsidR="00A90607" w:rsidRDefault="00A90607" w:rsidP="00A90607">
      <w:pPr>
        <w:pStyle w:val="Paragrafoelenco"/>
        <w:numPr>
          <w:ilvl w:val="0"/>
          <w:numId w:val="5"/>
        </w:numPr>
        <w:shd w:val="clear" w:color="auto" w:fill="FFFFFF"/>
        <w:spacing w:after="0" w:line="240" w:lineRule="auto"/>
      </w:pPr>
      <w:r>
        <w:t xml:space="preserve">il livello delle scuole (cui conferire ampia autonomia); </w:t>
      </w:r>
    </w:p>
    <w:p w:rsidR="00A90607" w:rsidRDefault="00A90607" w:rsidP="00A90607">
      <w:pPr>
        <w:pStyle w:val="Paragrafoelenco"/>
        <w:numPr>
          <w:ilvl w:val="0"/>
          <w:numId w:val="5"/>
        </w:numPr>
        <w:shd w:val="clear" w:color="auto" w:fill="FFFFFF"/>
        <w:spacing w:after="0" w:line="240" w:lineRule="auto"/>
      </w:pPr>
      <w:r>
        <w:t>il livello degli istituti regionali di ricerca (cui attribuire i compiti di valutazione);</w:t>
      </w:r>
    </w:p>
    <w:p w:rsidR="00A90607" w:rsidRDefault="00A90607" w:rsidP="00A90607">
      <w:pPr>
        <w:pStyle w:val="Paragrafoelenco"/>
        <w:numPr>
          <w:ilvl w:val="0"/>
          <w:numId w:val="5"/>
        </w:numPr>
        <w:shd w:val="clear" w:color="auto" w:fill="FFFFFF"/>
        <w:spacing w:after="0" w:line="240" w:lineRule="auto"/>
      </w:pPr>
      <w:r>
        <w:t>il livello ministeriale (cui attribuire programmazione e coordinamento).</w:t>
      </w:r>
    </w:p>
    <w:p w:rsidR="00814525" w:rsidRPr="00947E10" w:rsidRDefault="002A1AB3" w:rsidP="00947E10">
      <w:pPr>
        <w:shd w:val="clear" w:color="auto" w:fill="FFFFFF"/>
        <w:spacing w:after="0" w:line="240" w:lineRule="auto"/>
        <w:jc w:val="both"/>
      </w:pPr>
      <w:r>
        <w:t>L’autonomia ormai introdotta nell’ordinamento normativo attraverso la legge finanziaria del 1994 inevitabilmente inizia a mettere in crisi il sistema delle competenze degli enti territoriali come dimostra la direttiva n. 133 del 1996 sulla sperimentazione. Prevedendo all’art. 4, comma 1, che “le istituzioni scolastiche favoriscono tutte le iniziative che realizzano la funzione della scuola come centro di promozione culturale, sociale e civile del territorio”, questa per un verso conferma l’indirizzo verso una maggiore evidenza pubblica delle scuole sul «territorio» quali interlocutori in proprio del sistema politico e sociale e, per altro verso, riprende risolutamente il disegno politico-istituzionale verso l’autonomia che si era arrestato a metà degli anni settanta.</w:t>
      </w:r>
    </w:p>
    <w:p w:rsidR="00947E10" w:rsidRDefault="004305A7" w:rsidP="00555898">
      <w:pPr>
        <w:jc w:val="both"/>
      </w:pPr>
      <w:proofErr w:type="gramStart"/>
      <w:r w:rsidRPr="00947E10">
        <w:t>E’</w:t>
      </w:r>
      <w:proofErr w:type="gramEnd"/>
      <w:r w:rsidRPr="00947E10">
        <w:t xml:space="preserve"> dello stesso anno</w:t>
      </w:r>
      <w:r>
        <w:rPr>
          <w:b/>
        </w:rPr>
        <w:t xml:space="preserve"> il </w:t>
      </w:r>
      <w:r w:rsidR="00814525" w:rsidRPr="00814525">
        <w:rPr>
          <w:b/>
        </w:rPr>
        <w:t xml:space="preserve">Testo Unico </w:t>
      </w:r>
      <w:proofErr w:type="spellStart"/>
      <w:r w:rsidR="00814525" w:rsidRPr="00814525">
        <w:rPr>
          <w:b/>
        </w:rPr>
        <w:t>d.lgs</w:t>
      </w:r>
      <w:proofErr w:type="spellEnd"/>
      <w:r w:rsidR="00814525" w:rsidRPr="00814525">
        <w:rPr>
          <w:b/>
        </w:rPr>
        <w:t xml:space="preserve"> n.297/94</w:t>
      </w:r>
      <w:r w:rsidR="00814525" w:rsidRPr="009C1BF1">
        <w:t> </w:t>
      </w:r>
      <w:r w:rsidR="00814525">
        <w:t>decreto legislativo</w:t>
      </w:r>
      <w:r w:rsidR="00814525" w:rsidRPr="009C1BF1">
        <w:t xml:space="preserve"> </w:t>
      </w:r>
      <w:r w:rsidR="00947E10">
        <w:t xml:space="preserve">che seppur </w:t>
      </w:r>
      <w:r w:rsidR="00814525" w:rsidRPr="009C1BF1">
        <w:t>tardivamente</w:t>
      </w:r>
      <w:r w:rsidR="0079454E">
        <w:t xml:space="preserve">, </w:t>
      </w:r>
      <w:r w:rsidR="00947E10">
        <w:t xml:space="preserve">determinò </w:t>
      </w:r>
      <w:r w:rsidR="00814525" w:rsidRPr="009C1BF1">
        <w:t>un quadro normativo omogeneo</w:t>
      </w:r>
      <w:r w:rsidR="00814525">
        <w:t xml:space="preserve">, </w:t>
      </w:r>
      <w:r w:rsidR="00814525" w:rsidRPr="009C1BF1">
        <w:t xml:space="preserve">tassello di un processo in atto che </w:t>
      </w:r>
      <w:r w:rsidR="00947E10">
        <w:t>portò</w:t>
      </w:r>
      <w:r w:rsidR="00814525" w:rsidRPr="009C1BF1">
        <w:t xml:space="preserve"> nel giro di pochi anni la vera rivoluzione negli assetti dell’istruzione pubblica in Italia.</w:t>
      </w:r>
    </w:p>
    <w:p w:rsidR="009F6CAE" w:rsidRDefault="00186EFD" w:rsidP="009F6CAE">
      <w:pPr>
        <w:jc w:val="both"/>
      </w:pPr>
      <w:r>
        <w:t>Ne consegue la legge 59/97 nota come legge Bassanini che prevede la delega al governo per il conferimento di funzioni alle Regioni e agli enti locali per riformare la PA e tendere alla semplificazione amministrativa</w:t>
      </w:r>
      <w:r w:rsidR="009F6CAE">
        <w:t xml:space="preserve"> </w:t>
      </w:r>
      <w:r w:rsidR="00A90607">
        <w:t>porta</w:t>
      </w:r>
      <w:r w:rsidR="009F6CAE">
        <w:t>ndo</w:t>
      </w:r>
      <w:r w:rsidR="00A90607">
        <w:t xml:space="preserve"> a compimento tale processo.</w:t>
      </w:r>
    </w:p>
    <w:p w:rsidR="0079454E" w:rsidRDefault="00A90607" w:rsidP="009F6CAE">
      <w:pPr>
        <w:jc w:val="both"/>
      </w:pPr>
      <w:r>
        <w:t xml:space="preserve">Il suo primo comma è assolutamente emblematico infatti tolti </w:t>
      </w:r>
      <w:r w:rsidRPr="00947E10">
        <w:rPr>
          <w:b/>
        </w:rPr>
        <w:t xml:space="preserve">“i livelli unitari e nazionali di fruizione del diritto allo studio, nonché gli elementi comuni all’intero sistema scolastico pubblico in materia di gestione e programmazione definiti dallo Stato” </w:t>
      </w:r>
      <w:r w:rsidRPr="0079454E">
        <w:t>si dispone che</w:t>
      </w:r>
      <w:r w:rsidRPr="00947E10">
        <w:rPr>
          <w:b/>
        </w:rPr>
        <w:t xml:space="preserve"> “le funzioni dell’amministrazione centrale e periferica della pubblica istruzione in materia di gestione del servizio di istruzione […] sono progressivamente attribuite alle istituzioni scolastiche.”</w:t>
      </w:r>
      <w:r w:rsidR="00440602" w:rsidRPr="00440602">
        <w:t xml:space="preserve"> </w:t>
      </w:r>
    </w:p>
    <w:p w:rsidR="00440602" w:rsidRDefault="00440602" w:rsidP="00440602">
      <w:pPr>
        <w:pStyle w:val="Paragrafoelenco"/>
        <w:ind w:left="0"/>
        <w:jc w:val="both"/>
      </w:pPr>
      <w:r>
        <w:t xml:space="preserve">Con l’art. 21 della stessa viene conferita l’autonomia didattica, organizzativa, di ricerca, sperimentazione e sviluppo, finanziaria e negoziale a tutte le istituzioni scolastiche; il riconoscimento della personalità giuridica di diritto pubblico alle medesime istituzioni; la previsione della dirigenza scolastica con la connessa responsabilità della gestione e dei risultati. Sarà poi il </w:t>
      </w:r>
      <w:proofErr w:type="spellStart"/>
      <w:r>
        <w:t>Dgls</w:t>
      </w:r>
      <w:proofErr w:type="spellEnd"/>
      <w:r>
        <w:t xml:space="preserve"> 59/98 ad introdurre nel T.U del pubblico impiego </w:t>
      </w:r>
      <w:proofErr w:type="spellStart"/>
      <w:r>
        <w:t>dgls</w:t>
      </w:r>
      <w:proofErr w:type="spellEnd"/>
      <w:r>
        <w:t xml:space="preserve"> 165/2001 il profilo del Dirigente scolastico con l’art. 25. </w:t>
      </w:r>
    </w:p>
    <w:p w:rsidR="002A555F" w:rsidRDefault="002A555F" w:rsidP="00440602">
      <w:pPr>
        <w:pStyle w:val="Paragrafoelenco"/>
        <w:ind w:left="0"/>
        <w:jc w:val="both"/>
      </w:pPr>
    </w:p>
    <w:p w:rsidR="002A555F" w:rsidRPr="002A555F" w:rsidRDefault="002A555F" w:rsidP="00440602">
      <w:pPr>
        <w:pStyle w:val="Paragrafoelenco"/>
        <w:ind w:left="0"/>
        <w:jc w:val="both"/>
        <w:rPr>
          <w:b/>
        </w:rPr>
      </w:pPr>
      <w:r w:rsidRPr="002A555F">
        <w:rPr>
          <w:b/>
        </w:rPr>
        <w:t xml:space="preserve">Dal </w:t>
      </w:r>
      <w:r>
        <w:rPr>
          <w:b/>
        </w:rPr>
        <w:t>19</w:t>
      </w:r>
      <w:r w:rsidRPr="002A555F">
        <w:rPr>
          <w:b/>
        </w:rPr>
        <w:t>99 al 2015</w:t>
      </w:r>
    </w:p>
    <w:p w:rsidR="00440602" w:rsidRDefault="00440602" w:rsidP="00440602">
      <w:pPr>
        <w:pStyle w:val="Paragrafoelenco"/>
        <w:ind w:left="0"/>
        <w:jc w:val="both"/>
      </w:pPr>
      <w:r>
        <w:t xml:space="preserve">Con il D.P.R. 275/99 si ha il riconoscimento giuridico dell’autonomia funzionale alle scuole, in termini di strategia indispensabile per il successo formativo. (art. 1) e con il D.I 44/2001 vengono definite le nuove norme in materia di autonomia finanziaria, negoziale e di controllo interno. </w:t>
      </w:r>
    </w:p>
    <w:p w:rsidR="00440602" w:rsidRDefault="00440602" w:rsidP="00440602">
      <w:pPr>
        <w:pStyle w:val="Paragrafoelenco"/>
        <w:ind w:left="0"/>
        <w:jc w:val="both"/>
      </w:pPr>
      <w:r>
        <w:t xml:space="preserve">In riferimento al D.P.R. 275/99 l’art. 3, successivamente sostituito dal comma 14 dell’art. 1 della legge 107/2015 tratta di una progettazione ciclica e riflessiva, l’art. 4 tratta dell’autonomia funzionale nella forma didattica, l’art. 5 di quella organizzativa, l’art. 6 nella forma di ricerca e sviluppo, l’art. 7 istituzione delle reti </w:t>
      </w:r>
      <w:r>
        <w:lastRenderedPageBreak/>
        <w:t xml:space="preserve">di scuole, l’art. 8 autodeterminazione di una parte del curricolo e l’art.9 definisce la possibilità di ampliamento dell’offerta formativa. </w:t>
      </w:r>
    </w:p>
    <w:p w:rsidR="000158B9" w:rsidRDefault="000158B9" w:rsidP="00440602">
      <w:pPr>
        <w:pStyle w:val="Paragrafoelenco"/>
        <w:ind w:left="0"/>
        <w:jc w:val="both"/>
      </w:pPr>
      <w:r>
        <w:t>Successivamente la legge 107/2015 ha proposto l’avvio di misure e condizioni operative volte a stimolare l’incremento, nelle singole realtà scolastiche, del ricorso a tali utili strumenti di esercizio concreto dell’autonomia:</w:t>
      </w:r>
    </w:p>
    <w:p w:rsidR="000158B9" w:rsidRDefault="000158B9" w:rsidP="000158B9">
      <w:pPr>
        <w:pStyle w:val="Paragrafoelenco"/>
        <w:numPr>
          <w:ilvl w:val="0"/>
          <w:numId w:val="8"/>
        </w:numPr>
        <w:jc w:val="both"/>
      </w:pPr>
      <w:r>
        <w:t>introduzione dell’organico potenziato a livello di istituito;</w:t>
      </w:r>
    </w:p>
    <w:p w:rsidR="000158B9" w:rsidRDefault="000158B9" w:rsidP="000158B9">
      <w:pPr>
        <w:pStyle w:val="Paragrafoelenco"/>
        <w:numPr>
          <w:ilvl w:val="0"/>
          <w:numId w:val="8"/>
        </w:numPr>
        <w:jc w:val="both"/>
      </w:pPr>
      <w:r>
        <w:t xml:space="preserve">PIANO NAZIONALE SCUOLA DIGITALE; </w:t>
      </w:r>
    </w:p>
    <w:p w:rsidR="000158B9" w:rsidRDefault="000158B9" w:rsidP="000158B9">
      <w:pPr>
        <w:pStyle w:val="Paragrafoelenco"/>
        <w:numPr>
          <w:ilvl w:val="0"/>
          <w:numId w:val="8"/>
        </w:numPr>
        <w:jc w:val="both"/>
      </w:pPr>
      <w:r>
        <w:t>La valorizzazione del merito dei docenti in relazione al contributo al miglioramento dell’istituzione scolastica e al successo formativo degli alunni.</w:t>
      </w:r>
    </w:p>
    <w:p w:rsidR="000158B9" w:rsidRDefault="000158B9" w:rsidP="000158B9">
      <w:pPr>
        <w:jc w:val="both"/>
      </w:pPr>
      <w:r>
        <w:t>Tutti questi strumenti, pur con le contraddizioni ed i limiti registrati nei primi anni, hanno tracciato una linea di indirizzo molto chiara verso l’obiettivo di una piena attuazione dell’autonomia scolastica.</w:t>
      </w:r>
    </w:p>
    <w:p w:rsidR="000158B9" w:rsidRDefault="000158B9" w:rsidP="000158B9">
      <w:pPr>
        <w:jc w:val="both"/>
      </w:pPr>
      <w:r>
        <w:t xml:space="preserve">Si delinea, così, un quadro generale di scuola strategicamente, dinamicamente ed autonomamente impegnata nel perseguire il successo formativo per ogni alunno nell’ottica della personalizzazione </w:t>
      </w:r>
      <w:proofErr w:type="gramStart"/>
      <w:r>
        <w:t>( L</w:t>
      </w:r>
      <w:proofErr w:type="gramEnd"/>
      <w:r>
        <w:t>- 53/2003) e dell’inclusività (L. 59/97; D.P.R. 275/99; D.M.27/12/2012 e C.M. 8/3/2012; L. 107/2015); trasparente nei percorsi, debitamente resi noti (L. 241/90, D.P.C.M. 7/6/</w:t>
      </w:r>
      <w:r w:rsidR="00C32777">
        <w:t>95; 33/2013; 97/2016;  L. 107/2015); raccordata con il territorio (</w:t>
      </w:r>
      <w:proofErr w:type="spellStart"/>
      <w:r w:rsidR="00C32777">
        <w:t>d.gls</w:t>
      </w:r>
      <w:proofErr w:type="spellEnd"/>
      <w:r w:rsidR="00C32777">
        <w:t xml:space="preserve"> 112/98), secondo il principio della sussidiarietà orizzontale (L.C. 3/2001; L 107/2015); in continua sinergia con le famiglie (art. 30 della Costituzione; L. 53/32003; </w:t>
      </w:r>
      <w:proofErr w:type="spellStart"/>
      <w:r w:rsidR="00C32777">
        <w:t>dlgs</w:t>
      </w:r>
      <w:proofErr w:type="spellEnd"/>
      <w:r w:rsidR="00C32777">
        <w:t xml:space="preserve"> 235/97); che sia capace di realizzare efficacemente la propria parte di sussidiarietà verticale</w:t>
      </w:r>
      <w:r w:rsidR="00E34426">
        <w:t xml:space="preserve">, principio fondato sul pensare globalmente ed agire localmente ( secondo il dettato della L.C. 3/2001, art. 5). </w:t>
      </w:r>
    </w:p>
    <w:p w:rsidR="00E34426" w:rsidRDefault="00E34426" w:rsidP="000158B9">
      <w:pPr>
        <w:jc w:val="both"/>
      </w:pPr>
      <w:r>
        <w:t xml:space="preserve">Perciò, all’interno di una scuola la progettazione formativa, come quella di altri ambiti, non può prescindere dalle determinazioni europee che influenzano il legislatore nazionale. Pertanto negli ultimi quindici anni il nostro sistema di istruzione e formazione è stato condizionato dalle politiche europee ( Europa 2020 e Agenda 2030), che hanno prodotto un cambiamento culturale orientato alla costruzione di un “sistema duale” che favorisse l’avvicinamento della scuola all’impresa, attraverso l’apprendistato e la formazione professionale; l’utilizzo di metodologie didattiche innovative, basate sul “learning by </w:t>
      </w:r>
      <w:proofErr w:type="spellStart"/>
      <w:r>
        <w:t>doing</w:t>
      </w:r>
      <w:proofErr w:type="spellEnd"/>
      <w:r>
        <w:t xml:space="preserve">”; la personalizzazione dei percorsi per ottimizzare i risultati; lo sviluppo del pensiero computazionale; la promozione della conoscenza di più lingue comunitarie. </w:t>
      </w:r>
      <w:bookmarkStart w:id="0" w:name="_GoBack"/>
      <w:bookmarkEnd w:id="0"/>
    </w:p>
    <w:p w:rsidR="000158B9" w:rsidRDefault="000158B9" w:rsidP="000158B9">
      <w:pPr>
        <w:jc w:val="both"/>
      </w:pPr>
    </w:p>
    <w:p w:rsidR="004B00AF" w:rsidRDefault="004B00AF" w:rsidP="00440602">
      <w:pPr>
        <w:pStyle w:val="Paragrafoelenco"/>
        <w:ind w:left="0"/>
        <w:jc w:val="both"/>
      </w:pPr>
    </w:p>
    <w:p w:rsidR="004B593C" w:rsidRDefault="004B593C" w:rsidP="009F6CAE">
      <w:pPr>
        <w:pStyle w:val="Paragrafoelenco"/>
        <w:ind w:left="0"/>
        <w:jc w:val="both"/>
      </w:pPr>
      <w:bookmarkStart w:id="1" w:name="_Hlk101461746"/>
    </w:p>
    <w:p w:rsidR="004B593C" w:rsidRDefault="004B593C" w:rsidP="009F6CAE">
      <w:pPr>
        <w:pStyle w:val="Paragrafoelenco"/>
        <w:ind w:left="0"/>
        <w:jc w:val="both"/>
      </w:pPr>
    </w:p>
    <w:bookmarkEnd w:id="1"/>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4B593C" w:rsidRDefault="004B593C" w:rsidP="009F6CAE">
      <w:pPr>
        <w:pStyle w:val="Paragrafoelenco"/>
        <w:ind w:left="0"/>
        <w:jc w:val="both"/>
      </w:pPr>
    </w:p>
    <w:p w:rsidR="002F50FA" w:rsidRDefault="002F50FA" w:rsidP="00AF5C84">
      <w:pPr>
        <w:jc w:val="both"/>
      </w:pPr>
    </w:p>
    <w:p w:rsidR="002F50FA" w:rsidRDefault="002F50FA" w:rsidP="00AF5C84">
      <w:pPr>
        <w:jc w:val="both"/>
      </w:pPr>
    </w:p>
    <w:p w:rsidR="00577B09" w:rsidRDefault="00577B09" w:rsidP="00AF5C84">
      <w:pPr>
        <w:jc w:val="both"/>
      </w:pPr>
    </w:p>
    <w:p w:rsidR="00577B09" w:rsidRDefault="00577B09" w:rsidP="00AF5C84">
      <w:pPr>
        <w:jc w:val="both"/>
      </w:pPr>
    </w:p>
    <w:p w:rsidR="00577B09" w:rsidRDefault="00577B09" w:rsidP="00AF5C84">
      <w:pPr>
        <w:jc w:val="both"/>
      </w:pPr>
    </w:p>
    <w:p w:rsidR="00577B09" w:rsidRDefault="00577B09" w:rsidP="00AF5C84">
      <w:pPr>
        <w:jc w:val="both"/>
      </w:pPr>
    </w:p>
    <w:p w:rsidR="00686937" w:rsidRDefault="00686937" w:rsidP="008B2A9E">
      <w:pPr>
        <w:pStyle w:val="Paragrafoelenco"/>
        <w:ind w:left="0"/>
      </w:pPr>
    </w:p>
    <w:sectPr w:rsidR="006869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76B" w:rsidRDefault="00AE176B" w:rsidP="00D47EA9">
      <w:pPr>
        <w:spacing w:after="0" w:line="240" w:lineRule="auto"/>
      </w:pPr>
      <w:r>
        <w:separator/>
      </w:r>
    </w:p>
  </w:endnote>
  <w:endnote w:type="continuationSeparator" w:id="0">
    <w:p w:rsidR="00AE176B" w:rsidRDefault="00AE176B" w:rsidP="00D4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76B" w:rsidRDefault="00AE176B" w:rsidP="00D47EA9">
      <w:pPr>
        <w:spacing w:after="0" w:line="240" w:lineRule="auto"/>
      </w:pPr>
      <w:r>
        <w:separator/>
      </w:r>
    </w:p>
  </w:footnote>
  <w:footnote w:type="continuationSeparator" w:id="0">
    <w:p w:rsidR="00AE176B" w:rsidRDefault="00AE176B" w:rsidP="00D4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935"/>
    <w:multiLevelType w:val="hybridMultilevel"/>
    <w:tmpl w:val="62F826E2"/>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 w15:restartNumberingAfterBreak="0">
    <w:nsid w:val="0AC84C34"/>
    <w:multiLevelType w:val="hybridMultilevel"/>
    <w:tmpl w:val="41CC9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A35B54"/>
    <w:multiLevelType w:val="hybridMultilevel"/>
    <w:tmpl w:val="3232FE62"/>
    <w:lvl w:ilvl="0" w:tplc="62B89B7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7D6056"/>
    <w:multiLevelType w:val="hybridMultilevel"/>
    <w:tmpl w:val="1B029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F3603F"/>
    <w:multiLevelType w:val="hybridMultilevel"/>
    <w:tmpl w:val="3818601A"/>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5AD44227"/>
    <w:multiLevelType w:val="hybridMultilevel"/>
    <w:tmpl w:val="32B24FE6"/>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6" w15:restartNumberingAfterBreak="0">
    <w:nsid w:val="7C941461"/>
    <w:multiLevelType w:val="hybridMultilevel"/>
    <w:tmpl w:val="E17A8542"/>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7" w15:restartNumberingAfterBreak="0">
    <w:nsid w:val="7F762136"/>
    <w:multiLevelType w:val="hybridMultilevel"/>
    <w:tmpl w:val="7F0EC888"/>
    <w:lvl w:ilvl="0" w:tplc="62B89B7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6D"/>
    <w:rsid w:val="0000013D"/>
    <w:rsid w:val="000158B9"/>
    <w:rsid w:val="00034308"/>
    <w:rsid w:val="0006106D"/>
    <w:rsid w:val="000851B6"/>
    <w:rsid w:val="0011062F"/>
    <w:rsid w:val="0011205E"/>
    <w:rsid w:val="00121F30"/>
    <w:rsid w:val="00186EFD"/>
    <w:rsid w:val="002A1AB3"/>
    <w:rsid w:val="002A555F"/>
    <w:rsid w:val="002B1E08"/>
    <w:rsid w:val="002D4B32"/>
    <w:rsid w:val="002D5A4A"/>
    <w:rsid w:val="002F50FA"/>
    <w:rsid w:val="0030672A"/>
    <w:rsid w:val="00314663"/>
    <w:rsid w:val="003467F6"/>
    <w:rsid w:val="00363647"/>
    <w:rsid w:val="004305A7"/>
    <w:rsid w:val="00440602"/>
    <w:rsid w:val="004B00AF"/>
    <w:rsid w:val="004B593C"/>
    <w:rsid w:val="0050677B"/>
    <w:rsid w:val="00517B62"/>
    <w:rsid w:val="005362C8"/>
    <w:rsid w:val="00555898"/>
    <w:rsid w:val="00565EAE"/>
    <w:rsid w:val="00577B09"/>
    <w:rsid w:val="00611047"/>
    <w:rsid w:val="00686937"/>
    <w:rsid w:val="006E0F13"/>
    <w:rsid w:val="006E24D4"/>
    <w:rsid w:val="007006DF"/>
    <w:rsid w:val="00713AD3"/>
    <w:rsid w:val="0079454E"/>
    <w:rsid w:val="00814525"/>
    <w:rsid w:val="008749C1"/>
    <w:rsid w:val="008A66AD"/>
    <w:rsid w:val="008B2A9E"/>
    <w:rsid w:val="00912530"/>
    <w:rsid w:val="00947E10"/>
    <w:rsid w:val="00974C1E"/>
    <w:rsid w:val="009C1BF1"/>
    <w:rsid w:val="009F6CAE"/>
    <w:rsid w:val="00A35C70"/>
    <w:rsid w:val="00A90607"/>
    <w:rsid w:val="00AE176B"/>
    <w:rsid w:val="00AF5C84"/>
    <w:rsid w:val="00C32777"/>
    <w:rsid w:val="00C438E1"/>
    <w:rsid w:val="00C84577"/>
    <w:rsid w:val="00D47EA9"/>
    <w:rsid w:val="00D946C9"/>
    <w:rsid w:val="00DA4976"/>
    <w:rsid w:val="00DC6234"/>
    <w:rsid w:val="00DD2DFA"/>
    <w:rsid w:val="00E106FC"/>
    <w:rsid w:val="00E34426"/>
    <w:rsid w:val="00E63105"/>
    <w:rsid w:val="00EC05EF"/>
    <w:rsid w:val="00F13D1C"/>
    <w:rsid w:val="00F37CFD"/>
    <w:rsid w:val="00F42430"/>
    <w:rsid w:val="00F6708D"/>
    <w:rsid w:val="00FF5A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A453C"/>
  <w15:chartTrackingRefBased/>
  <w15:docId w15:val="{0112DA89-8790-4D4A-A153-00C10C4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677B"/>
    <w:pPr>
      <w:ind w:left="720"/>
      <w:contextualSpacing/>
    </w:pPr>
  </w:style>
  <w:style w:type="paragraph" w:styleId="Intestazione">
    <w:name w:val="header"/>
    <w:basedOn w:val="Normale"/>
    <w:link w:val="IntestazioneCarattere"/>
    <w:uiPriority w:val="99"/>
    <w:unhideWhenUsed/>
    <w:rsid w:val="00D47E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7EA9"/>
  </w:style>
  <w:style w:type="paragraph" w:styleId="Pidipagina">
    <w:name w:val="footer"/>
    <w:basedOn w:val="Normale"/>
    <w:link w:val="PidipaginaCarattere"/>
    <w:uiPriority w:val="99"/>
    <w:unhideWhenUsed/>
    <w:rsid w:val="00D47E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232607">
      <w:bodyDiv w:val="1"/>
      <w:marLeft w:val="0"/>
      <w:marRight w:val="0"/>
      <w:marTop w:val="0"/>
      <w:marBottom w:val="0"/>
      <w:divBdr>
        <w:top w:val="none" w:sz="0" w:space="0" w:color="auto"/>
        <w:left w:val="none" w:sz="0" w:space="0" w:color="auto"/>
        <w:bottom w:val="none" w:sz="0" w:space="0" w:color="auto"/>
        <w:right w:val="none" w:sz="0" w:space="0" w:color="auto"/>
      </w:divBdr>
      <w:divsChild>
        <w:div w:id="1646659437">
          <w:marLeft w:val="0"/>
          <w:marRight w:val="0"/>
          <w:marTop w:val="0"/>
          <w:marBottom w:val="0"/>
          <w:divBdr>
            <w:top w:val="none" w:sz="0" w:space="0" w:color="auto"/>
            <w:left w:val="none" w:sz="0" w:space="0" w:color="auto"/>
            <w:bottom w:val="none" w:sz="0" w:space="0" w:color="auto"/>
            <w:right w:val="none" w:sz="0" w:space="0" w:color="auto"/>
          </w:divBdr>
        </w:div>
        <w:div w:id="1784493258">
          <w:marLeft w:val="0"/>
          <w:marRight w:val="0"/>
          <w:marTop w:val="0"/>
          <w:marBottom w:val="0"/>
          <w:divBdr>
            <w:top w:val="none" w:sz="0" w:space="0" w:color="auto"/>
            <w:left w:val="none" w:sz="0" w:space="0" w:color="auto"/>
            <w:bottom w:val="none" w:sz="0" w:space="0" w:color="auto"/>
            <w:right w:val="none" w:sz="0" w:space="0" w:color="auto"/>
          </w:divBdr>
        </w:div>
        <w:div w:id="1128548001">
          <w:marLeft w:val="0"/>
          <w:marRight w:val="0"/>
          <w:marTop w:val="0"/>
          <w:marBottom w:val="0"/>
          <w:divBdr>
            <w:top w:val="none" w:sz="0" w:space="0" w:color="auto"/>
            <w:left w:val="none" w:sz="0" w:space="0" w:color="auto"/>
            <w:bottom w:val="none" w:sz="0" w:space="0" w:color="auto"/>
            <w:right w:val="none" w:sz="0" w:space="0" w:color="auto"/>
          </w:divBdr>
        </w:div>
        <w:div w:id="984162098">
          <w:marLeft w:val="0"/>
          <w:marRight w:val="0"/>
          <w:marTop w:val="0"/>
          <w:marBottom w:val="0"/>
          <w:divBdr>
            <w:top w:val="none" w:sz="0" w:space="0" w:color="auto"/>
            <w:left w:val="none" w:sz="0" w:space="0" w:color="auto"/>
            <w:bottom w:val="none" w:sz="0" w:space="0" w:color="auto"/>
            <w:right w:val="none" w:sz="0" w:space="0" w:color="auto"/>
          </w:divBdr>
        </w:div>
        <w:div w:id="1107504833">
          <w:marLeft w:val="0"/>
          <w:marRight w:val="0"/>
          <w:marTop w:val="0"/>
          <w:marBottom w:val="0"/>
          <w:divBdr>
            <w:top w:val="none" w:sz="0" w:space="0" w:color="auto"/>
            <w:left w:val="none" w:sz="0" w:space="0" w:color="auto"/>
            <w:bottom w:val="none" w:sz="0" w:space="0" w:color="auto"/>
            <w:right w:val="none" w:sz="0" w:space="0" w:color="auto"/>
          </w:divBdr>
        </w:div>
        <w:div w:id="850603996">
          <w:marLeft w:val="0"/>
          <w:marRight w:val="0"/>
          <w:marTop w:val="0"/>
          <w:marBottom w:val="0"/>
          <w:divBdr>
            <w:top w:val="none" w:sz="0" w:space="0" w:color="auto"/>
            <w:left w:val="none" w:sz="0" w:space="0" w:color="auto"/>
            <w:bottom w:val="none" w:sz="0" w:space="0" w:color="auto"/>
            <w:right w:val="none" w:sz="0" w:space="0" w:color="auto"/>
          </w:divBdr>
        </w:div>
        <w:div w:id="707418814">
          <w:marLeft w:val="0"/>
          <w:marRight w:val="0"/>
          <w:marTop w:val="0"/>
          <w:marBottom w:val="0"/>
          <w:divBdr>
            <w:top w:val="none" w:sz="0" w:space="0" w:color="auto"/>
            <w:left w:val="none" w:sz="0" w:space="0" w:color="auto"/>
            <w:bottom w:val="none" w:sz="0" w:space="0" w:color="auto"/>
            <w:right w:val="none" w:sz="0" w:space="0" w:color="auto"/>
          </w:divBdr>
        </w:div>
        <w:div w:id="99916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7250</TotalTime>
  <Pages>4</Pages>
  <Words>1479</Words>
  <Characters>8432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De Angelis</dc:creator>
  <cp:keywords/>
  <dc:description/>
  <cp:lastModifiedBy>Emilia De Angelis</cp:lastModifiedBy>
  <cp:revision>6</cp:revision>
  <cp:lastPrinted>2022-04-21T13:24:00Z</cp:lastPrinted>
  <dcterms:created xsi:type="dcterms:W3CDTF">2022-04-08T16:44:00Z</dcterms:created>
  <dcterms:modified xsi:type="dcterms:W3CDTF">2022-04-21T18:23:00Z</dcterms:modified>
</cp:coreProperties>
</file>