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BB04A" w14:textId="30C29183" w:rsidR="005E2FCC" w:rsidRDefault="00F942E6" w:rsidP="00F942E6">
      <w:pPr>
        <w:jc w:val="center"/>
      </w:pPr>
      <w:r>
        <w:t>TP Biologie Végétale – 2026-2027</w:t>
      </w:r>
    </w:p>
    <w:tbl>
      <w:tblPr>
        <w:tblStyle w:val="Tableausimple1"/>
        <w:tblW w:w="5000" w:type="pct"/>
        <w:jc w:val="center"/>
        <w:tblLook w:val="04A0" w:firstRow="1" w:lastRow="0" w:firstColumn="1" w:lastColumn="0" w:noHBand="0" w:noVBand="1"/>
      </w:tblPr>
      <w:tblGrid>
        <w:gridCol w:w="3487"/>
        <w:gridCol w:w="5195"/>
        <w:gridCol w:w="6706"/>
      </w:tblGrid>
      <w:tr w:rsidR="00F942E6" w:rsidRPr="00DE0CD7" w14:paraId="5B4F76D5" w14:textId="77777777" w:rsidTr="00F942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pct"/>
            <w:hideMark/>
          </w:tcPr>
          <w:p w14:paraId="2974A8D5" w14:textId="77777777" w:rsidR="00F942E6" w:rsidRPr="00DE0CD7" w:rsidRDefault="00F942E6" w:rsidP="008776C9">
            <w:pPr>
              <w:spacing w:after="160" w:line="259" w:lineRule="auto"/>
            </w:pPr>
            <w:r w:rsidRPr="00DE0CD7">
              <w:t>Chapitre</w:t>
            </w:r>
          </w:p>
        </w:tc>
        <w:tc>
          <w:tcPr>
            <w:tcW w:w="1688" w:type="pct"/>
            <w:hideMark/>
          </w:tcPr>
          <w:p w14:paraId="7B7DC041" w14:textId="4EB5501B" w:rsidR="00F942E6" w:rsidRPr="00DE0CD7" w:rsidRDefault="00F942E6" w:rsidP="008776C9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E0CD7">
              <w:t>T</w:t>
            </w:r>
            <w:r>
              <w:t>itre</w:t>
            </w:r>
          </w:p>
        </w:tc>
        <w:tc>
          <w:tcPr>
            <w:tcW w:w="2179" w:type="pct"/>
            <w:hideMark/>
          </w:tcPr>
          <w:p w14:paraId="22456564" w14:textId="77777777" w:rsidR="00F942E6" w:rsidRPr="00DE0CD7" w:rsidRDefault="00F942E6" w:rsidP="008776C9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E0CD7">
              <w:t>Objectif</w:t>
            </w:r>
            <w:r>
              <w:t>s</w:t>
            </w:r>
          </w:p>
        </w:tc>
      </w:tr>
      <w:tr w:rsidR="00F942E6" w:rsidRPr="00DE0CD7" w14:paraId="098C8F5E" w14:textId="77777777" w:rsidTr="00F942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pct"/>
            <w:shd w:val="clear" w:color="auto" w:fill="D9F2D0" w:themeFill="accent6" w:themeFillTint="33"/>
            <w:hideMark/>
          </w:tcPr>
          <w:p w14:paraId="128EAA7D" w14:textId="77777777" w:rsidR="00F942E6" w:rsidRPr="00DE0CD7" w:rsidRDefault="00F942E6" w:rsidP="00F942E6">
            <w:pPr>
              <w:spacing w:after="160" w:line="259" w:lineRule="auto"/>
            </w:pPr>
            <w:r w:rsidRPr="00DE0CD7">
              <w:t>BioV1 – L'organisation fonctionnelle des plantes à fleurs</w:t>
            </w:r>
          </w:p>
        </w:tc>
        <w:tc>
          <w:tcPr>
            <w:tcW w:w="1688" w:type="pct"/>
            <w:shd w:val="clear" w:color="auto" w:fill="D9F2D0" w:themeFill="accent6" w:themeFillTint="33"/>
          </w:tcPr>
          <w:p w14:paraId="062F407A" w14:textId="21574BCF" w:rsidR="00F942E6" w:rsidRPr="00F942E6" w:rsidRDefault="00F942E6" w:rsidP="00F942E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DE0CD7">
              <w:rPr>
                <w:b/>
                <w:bCs/>
              </w:rPr>
              <w:t>TP</w:t>
            </w:r>
            <w:r>
              <w:rPr>
                <w:b/>
                <w:bCs/>
              </w:rPr>
              <w:t>1</w:t>
            </w:r>
            <w:r w:rsidRPr="00DE0CD7">
              <w:rPr>
                <w:b/>
                <w:bCs/>
              </w:rPr>
              <w:t xml:space="preserve"> – Les échanges au niveau de la feuille</w:t>
            </w:r>
          </w:p>
        </w:tc>
        <w:tc>
          <w:tcPr>
            <w:tcW w:w="2179" w:type="pct"/>
            <w:shd w:val="clear" w:color="auto" w:fill="D9F2D0" w:themeFill="accent6" w:themeFillTint="33"/>
          </w:tcPr>
          <w:p w14:paraId="5DC92B3C" w14:textId="62EBFC3E" w:rsidR="00F942E6" w:rsidRPr="00DE0CD7" w:rsidRDefault="00F942E6" w:rsidP="00F942E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0CD7">
              <w:t>Observer les stomates et comprendre leur rôle dans les échanges gazeux et la transpiration ; relier leur ouverture aux conditions environnementales.</w:t>
            </w:r>
          </w:p>
        </w:tc>
      </w:tr>
      <w:tr w:rsidR="00F942E6" w:rsidRPr="00DE0CD7" w14:paraId="68F53E69" w14:textId="77777777" w:rsidTr="00F942E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pct"/>
            <w:shd w:val="clear" w:color="auto" w:fill="D9F2D0" w:themeFill="accent6" w:themeFillTint="33"/>
            <w:hideMark/>
          </w:tcPr>
          <w:p w14:paraId="7064B235" w14:textId="77777777" w:rsidR="00F942E6" w:rsidRPr="00DE0CD7" w:rsidRDefault="00F942E6" w:rsidP="00F942E6">
            <w:pPr>
              <w:spacing w:after="160" w:line="259" w:lineRule="auto"/>
            </w:pPr>
          </w:p>
        </w:tc>
        <w:tc>
          <w:tcPr>
            <w:tcW w:w="1688" w:type="pct"/>
            <w:shd w:val="clear" w:color="auto" w:fill="D9F2D0" w:themeFill="accent6" w:themeFillTint="33"/>
          </w:tcPr>
          <w:p w14:paraId="621589C5" w14:textId="103B0BBE" w:rsidR="00F942E6" w:rsidRPr="00DE0CD7" w:rsidRDefault="00F942E6" w:rsidP="00F942E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</w:rPr>
              <w:t xml:space="preserve"> </w:t>
            </w:r>
            <w:r w:rsidRPr="00DE0CD7">
              <w:rPr>
                <w:b/>
                <w:bCs/>
              </w:rPr>
              <w:t>TP</w:t>
            </w:r>
            <w:r>
              <w:rPr>
                <w:b/>
                <w:bCs/>
              </w:rPr>
              <w:t>2</w:t>
            </w:r>
            <w:r w:rsidRPr="00DE0CD7">
              <w:rPr>
                <w:b/>
                <w:bCs/>
              </w:rPr>
              <w:t xml:space="preserve"> – Le système racinaire : une interface d'échanges avec le sol</w:t>
            </w:r>
          </w:p>
        </w:tc>
        <w:tc>
          <w:tcPr>
            <w:tcW w:w="2179" w:type="pct"/>
            <w:shd w:val="clear" w:color="auto" w:fill="D9F2D0" w:themeFill="accent6" w:themeFillTint="33"/>
          </w:tcPr>
          <w:p w14:paraId="6F5347C5" w14:textId="2889FB24" w:rsidR="00F942E6" w:rsidRPr="00DE0CD7" w:rsidRDefault="00F942E6" w:rsidP="00F942E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0CD7">
              <w:t xml:space="preserve">Identifier les structures impliquées dans l'absorption de l'eau et des ions minéraux ; </w:t>
            </w:r>
            <w:r>
              <w:t>c</w:t>
            </w:r>
            <w:r w:rsidRPr="00DE0CD7">
              <w:t>omprendre le rôle des poils absorbants et des mycorhizes.</w:t>
            </w:r>
          </w:p>
        </w:tc>
      </w:tr>
      <w:tr w:rsidR="00F942E6" w:rsidRPr="00DE0CD7" w14:paraId="51976C6E" w14:textId="77777777" w:rsidTr="00F942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pct"/>
            <w:shd w:val="clear" w:color="auto" w:fill="D9F2D0" w:themeFill="accent6" w:themeFillTint="33"/>
          </w:tcPr>
          <w:p w14:paraId="2252518C" w14:textId="77777777" w:rsidR="00F942E6" w:rsidRPr="00DE0CD7" w:rsidRDefault="00F942E6" w:rsidP="00F942E6">
            <w:pPr>
              <w:spacing w:line="259" w:lineRule="auto"/>
            </w:pPr>
          </w:p>
        </w:tc>
        <w:tc>
          <w:tcPr>
            <w:tcW w:w="1688" w:type="pct"/>
            <w:shd w:val="clear" w:color="auto" w:fill="D9F2D0" w:themeFill="accent6" w:themeFillTint="33"/>
          </w:tcPr>
          <w:p w14:paraId="4B0F217B" w14:textId="507468F9" w:rsidR="00F942E6" w:rsidRPr="00DE0CD7" w:rsidRDefault="00F942E6" w:rsidP="00F942E6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DE0CD7">
              <w:rPr>
                <w:b/>
                <w:bCs/>
              </w:rPr>
              <w:t>TP3 – La circulation de matière dans la plante</w:t>
            </w:r>
          </w:p>
        </w:tc>
        <w:tc>
          <w:tcPr>
            <w:tcW w:w="2179" w:type="pct"/>
            <w:shd w:val="clear" w:color="auto" w:fill="D9F2D0" w:themeFill="accent6" w:themeFillTint="33"/>
          </w:tcPr>
          <w:p w14:paraId="1E843950" w14:textId="1CEBEA95" w:rsidR="00F942E6" w:rsidRPr="00DE0CD7" w:rsidRDefault="00F942E6" w:rsidP="00F942E6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0CD7">
              <w:t>Identifier les tissus conducteurs et comprendre le transport de la sève brute</w:t>
            </w:r>
            <w:r>
              <w:t>.</w:t>
            </w:r>
          </w:p>
        </w:tc>
      </w:tr>
      <w:tr w:rsidR="00F942E6" w:rsidRPr="00DE0CD7" w14:paraId="27CE0D11" w14:textId="77777777" w:rsidTr="00F942E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pct"/>
            <w:shd w:val="clear" w:color="auto" w:fill="D9F2D0" w:themeFill="accent6" w:themeFillTint="33"/>
            <w:hideMark/>
          </w:tcPr>
          <w:p w14:paraId="5E14EDEA" w14:textId="77777777" w:rsidR="00F942E6" w:rsidRPr="00DE0CD7" w:rsidRDefault="00F942E6" w:rsidP="00F942E6">
            <w:pPr>
              <w:spacing w:after="160" w:line="259" w:lineRule="auto"/>
            </w:pPr>
          </w:p>
        </w:tc>
        <w:tc>
          <w:tcPr>
            <w:tcW w:w="1688" w:type="pct"/>
            <w:shd w:val="clear" w:color="auto" w:fill="D9F2D0" w:themeFill="accent6" w:themeFillTint="33"/>
            <w:hideMark/>
          </w:tcPr>
          <w:p w14:paraId="63F80558" w14:textId="379B31E6" w:rsidR="00F942E6" w:rsidRPr="00DE0CD7" w:rsidRDefault="00F942E6" w:rsidP="00F942E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0CD7">
              <w:rPr>
                <w:b/>
                <w:bCs/>
              </w:rPr>
              <w:t>TP4 –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La c</w:t>
            </w:r>
            <w:r w:rsidRPr="00DE0CD7">
              <w:rPr>
                <w:b/>
                <w:bCs/>
              </w:rPr>
              <w:t>roissance des plantes : les méristèmes</w:t>
            </w:r>
          </w:p>
        </w:tc>
        <w:tc>
          <w:tcPr>
            <w:tcW w:w="2179" w:type="pct"/>
            <w:shd w:val="clear" w:color="auto" w:fill="D9F2D0" w:themeFill="accent6" w:themeFillTint="33"/>
            <w:hideMark/>
          </w:tcPr>
          <w:p w14:paraId="3CF1EAEB" w14:textId="77777777" w:rsidR="00F942E6" w:rsidRPr="00DE0CD7" w:rsidRDefault="00F942E6" w:rsidP="00F942E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0CD7">
              <w:t>Identifier les zones de croissance et mesurer la croissance racinaire.</w:t>
            </w:r>
          </w:p>
        </w:tc>
      </w:tr>
      <w:tr w:rsidR="00F942E6" w:rsidRPr="00DE0CD7" w14:paraId="735F24EC" w14:textId="77777777" w:rsidTr="00F942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pct"/>
            <w:shd w:val="clear" w:color="auto" w:fill="auto"/>
          </w:tcPr>
          <w:p w14:paraId="0418AA38" w14:textId="77777777" w:rsidR="00F942E6" w:rsidRPr="00DE0CD7" w:rsidRDefault="00F942E6" w:rsidP="00F942E6">
            <w:pPr>
              <w:spacing w:line="259" w:lineRule="auto"/>
            </w:pPr>
          </w:p>
        </w:tc>
        <w:tc>
          <w:tcPr>
            <w:tcW w:w="1688" w:type="pct"/>
            <w:shd w:val="clear" w:color="auto" w:fill="auto"/>
          </w:tcPr>
          <w:p w14:paraId="4146D2DA" w14:textId="77777777" w:rsidR="00F942E6" w:rsidRPr="00DE0CD7" w:rsidRDefault="00F942E6" w:rsidP="00F942E6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179" w:type="pct"/>
            <w:shd w:val="clear" w:color="auto" w:fill="auto"/>
          </w:tcPr>
          <w:p w14:paraId="5513CAFD" w14:textId="77777777" w:rsidR="00F942E6" w:rsidRPr="00DE0CD7" w:rsidRDefault="00F942E6" w:rsidP="00F942E6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2E6" w:rsidRPr="00DE0CD7" w14:paraId="7B87BB86" w14:textId="77777777" w:rsidTr="00F942E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pct"/>
            <w:shd w:val="clear" w:color="auto" w:fill="D9F2D0" w:themeFill="accent6" w:themeFillTint="33"/>
            <w:hideMark/>
          </w:tcPr>
          <w:p w14:paraId="26D81AE5" w14:textId="77777777" w:rsidR="00F942E6" w:rsidRPr="00DE0CD7" w:rsidRDefault="00F942E6" w:rsidP="00F942E6">
            <w:pPr>
              <w:spacing w:after="160" w:line="259" w:lineRule="auto"/>
            </w:pPr>
            <w:r w:rsidRPr="00DE0CD7">
              <w:t>BioV2 – La plante productrice de matière organique</w:t>
            </w:r>
          </w:p>
        </w:tc>
        <w:tc>
          <w:tcPr>
            <w:tcW w:w="1688" w:type="pct"/>
            <w:shd w:val="clear" w:color="auto" w:fill="D9F2D0" w:themeFill="accent6" w:themeFillTint="33"/>
            <w:hideMark/>
          </w:tcPr>
          <w:p w14:paraId="4B8C953D" w14:textId="4E44E0DA" w:rsidR="00F942E6" w:rsidRPr="00DE0CD7" w:rsidRDefault="00F942E6" w:rsidP="00F942E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0CD7">
              <w:rPr>
                <w:b/>
                <w:bCs/>
              </w:rPr>
              <w:t>TP1 – Les pigments de la photosynthèse</w:t>
            </w:r>
          </w:p>
        </w:tc>
        <w:tc>
          <w:tcPr>
            <w:tcW w:w="2179" w:type="pct"/>
            <w:shd w:val="clear" w:color="auto" w:fill="D9F2D0" w:themeFill="accent6" w:themeFillTint="33"/>
            <w:hideMark/>
          </w:tcPr>
          <w:p w14:paraId="6B461B07" w14:textId="77777777" w:rsidR="00F942E6" w:rsidRPr="00DE0CD7" w:rsidRDefault="00F942E6" w:rsidP="00F942E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0CD7">
              <w:t>Identifier les pigments chlorophylliens et relier la longueur d'onde à l'activité photosynthétique.</w:t>
            </w:r>
          </w:p>
        </w:tc>
      </w:tr>
      <w:tr w:rsidR="00F942E6" w:rsidRPr="00DE0CD7" w14:paraId="3271880F" w14:textId="77777777" w:rsidTr="00F942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pct"/>
            <w:shd w:val="clear" w:color="auto" w:fill="D9F2D0" w:themeFill="accent6" w:themeFillTint="33"/>
            <w:hideMark/>
          </w:tcPr>
          <w:p w14:paraId="2131F7BF" w14:textId="77777777" w:rsidR="00F942E6" w:rsidRPr="00DE0CD7" w:rsidRDefault="00F942E6" w:rsidP="00F942E6">
            <w:pPr>
              <w:spacing w:after="160" w:line="259" w:lineRule="auto"/>
            </w:pPr>
          </w:p>
        </w:tc>
        <w:tc>
          <w:tcPr>
            <w:tcW w:w="1688" w:type="pct"/>
            <w:shd w:val="clear" w:color="auto" w:fill="D9F2D0" w:themeFill="accent6" w:themeFillTint="33"/>
            <w:hideMark/>
          </w:tcPr>
          <w:p w14:paraId="14FA1BCD" w14:textId="77777777" w:rsidR="00F942E6" w:rsidRPr="00DE0CD7" w:rsidRDefault="00F942E6" w:rsidP="00F942E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0CD7">
              <w:rPr>
                <w:b/>
                <w:bCs/>
              </w:rPr>
              <w:t>TP2 – Les organes de réserve</w:t>
            </w:r>
          </w:p>
        </w:tc>
        <w:tc>
          <w:tcPr>
            <w:tcW w:w="2179" w:type="pct"/>
            <w:shd w:val="clear" w:color="auto" w:fill="D9F2D0" w:themeFill="accent6" w:themeFillTint="33"/>
            <w:hideMark/>
          </w:tcPr>
          <w:p w14:paraId="5A0950E7" w14:textId="77777777" w:rsidR="00F942E6" w:rsidRPr="00DE0CD7" w:rsidRDefault="00F942E6" w:rsidP="00F942E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0CD7">
              <w:t>Identifier les principales molécules organiques de réserve des plantes.</w:t>
            </w:r>
          </w:p>
        </w:tc>
      </w:tr>
      <w:tr w:rsidR="00F942E6" w:rsidRPr="00DE0CD7" w14:paraId="43439A94" w14:textId="77777777" w:rsidTr="00F942E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pct"/>
          </w:tcPr>
          <w:p w14:paraId="12A71952" w14:textId="77777777" w:rsidR="00F942E6" w:rsidRPr="00DE0CD7" w:rsidRDefault="00F942E6" w:rsidP="00F942E6">
            <w:pPr>
              <w:spacing w:line="259" w:lineRule="auto"/>
            </w:pPr>
          </w:p>
        </w:tc>
        <w:tc>
          <w:tcPr>
            <w:tcW w:w="1688" w:type="pct"/>
          </w:tcPr>
          <w:p w14:paraId="2F83162A" w14:textId="77777777" w:rsidR="00F942E6" w:rsidRPr="00DE0CD7" w:rsidRDefault="00F942E6" w:rsidP="00F942E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179" w:type="pct"/>
          </w:tcPr>
          <w:p w14:paraId="52F605A6" w14:textId="77777777" w:rsidR="00F942E6" w:rsidRPr="00DE0CD7" w:rsidRDefault="00F942E6" w:rsidP="00F942E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42E6" w:rsidRPr="00DE0CD7" w14:paraId="20668F8F" w14:textId="77777777" w:rsidTr="00F942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pct"/>
            <w:shd w:val="clear" w:color="auto" w:fill="D9F2D0" w:themeFill="accent6" w:themeFillTint="33"/>
            <w:hideMark/>
          </w:tcPr>
          <w:p w14:paraId="487D6EA2" w14:textId="77777777" w:rsidR="00F942E6" w:rsidRPr="00DE0CD7" w:rsidRDefault="00F942E6" w:rsidP="00F942E6">
            <w:pPr>
              <w:spacing w:after="160" w:line="259" w:lineRule="auto"/>
            </w:pPr>
            <w:r w:rsidRPr="00DE0CD7">
              <w:t>BioV3 – La reproduction des plantes à fleurs</w:t>
            </w:r>
          </w:p>
        </w:tc>
        <w:tc>
          <w:tcPr>
            <w:tcW w:w="1688" w:type="pct"/>
            <w:shd w:val="clear" w:color="auto" w:fill="D9F2D0" w:themeFill="accent6" w:themeFillTint="33"/>
            <w:hideMark/>
          </w:tcPr>
          <w:p w14:paraId="0F0A05C3" w14:textId="77777777" w:rsidR="00F942E6" w:rsidRPr="00DE0CD7" w:rsidRDefault="00F942E6" w:rsidP="00F942E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0CD7">
              <w:rPr>
                <w:b/>
                <w:bCs/>
              </w:rPr>
              <w:t>TP1 – La fleur, organe spécialisé dans la reproduction</w:t>
            </w:r>
          </w:p>
        </w:tc>
        <w:tc>
          <w:tcPr>
            <w:tcW w:w="2179" w:type="pct"/>
            <w:shd w:val="clear" w:color="auto" w:fill="D9F2D0" w:themeFill="accent6" w:themeFillTint="33"/>
            <w:hideMark/>
          </w:tcPr>
          <w:p w14:paraId="0E8BB334" w14:textId="77777777" w:rsidR="00F942E6" w:rsidRPr="00DE0CD7" w:rsidRDefault="00F942E6" w:rsidP="00F942E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0CD7">
              <w:t>Identifier les pièces florales et les adaptations à la pollinisation.</w:t>
            </w:r>
          </w:p>
        </w:tc>
      </w:tr>
      <w:tr w:rsidR="00F942E6" w:rsidRPr="00DE0CD7" w14:paraId="03E26CA1" w14:textId="77777777" w:rsidTr="00F942E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pct"/>
            <w:shd w:val="clear" w:color="auto" w:fill="D9F2D0" w:themeFill="accent6" w:themeFillTint="33"/>
            <w:hideMark/>
          </w:tcPr>
          <w:p w14:paraId="199E273C" w14:textId="77777777" w:rsidR="00F942E6" w:rsidRPr="00DE0CD7" w:rsidRDefault="00F942E6" w:rsidP="00F942E6">
            <w:pPr>
              <w:spacing w:after="160" w:line="259" w:lineRule="auto"/>
            </w:pPr>
          </w:p>
        </w:tc>
        <w:tc>
          <w:tcPr>
            <w:tcW w:w="1688" w:type="pct"/>
            <w:shd w:val="clear" w:color="auto" w:fill="D9F2D0" w:themeFill="accent6" w:themeFillTint="33"/>
            <w:hideMark/>
          </w:tcPr>
          <w:p w14:paraId="6353EACF" w14:textId="77777777" w:rsidR="00F942E6" w:rsidRPr="00DE0CD7" w:rsidRDefault="00F942E6" w:rsidP="00F942E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0CD7">
              <w:rPr>
                <w:b/>
                <w:bCs/>
              </w:rPr>
              <w:t>TP2 – Étude de la graine</w:t>
            </w:r>
          </w:p>
        </w:tc>
        <w:tc>
          <w:tcPr>
            <w:tcW w:w="2179" w:type="pct"/>
            <w:shd w:val="clear" w:color="auto" w:fill="D9F2D0" w:themeFill="accent6" w:themeFillTint="33"/>
            <w:hideMark/>
          </w:tcPr>
          <w:p w14:paraId="2563E204" w14:textId="77777777" w:rsidR="00F942E6" w:rsidRPr="00DE0CD7" w:rsidRDefault="00F942E6" w:rsidP="00F942E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0CD7">
              <w:t>Identifier les réserves et l'organisation de la graine.</w:t>
            </w:r>
          </w:p>
        </w:tc>
      </w:tr>
      <w:tr w:rsidR="00F942E6" w:rsidRPr="00DE0CD7" w14:paraId="0AD17271" w14:textId="77777777" w:rsidTr="00F942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pct"/>
            <w:shd w:val="clear" w:color="auto" w:fill="auto"/>
          </w:tcPr>
          <w:p w14:paraId="7C0218EA" w14:textId="77777777" w:rsidR="00F942E6" w:rsidRPr="00DE0CD7" w:rsidRDefault="00F942E6" w:rsidP="00F942E6">
            <w:pPr>
              <w:spacing w:line="259" w:lineRule="auto"/>
            </w:pPr>
          </w:p>
        </w:tc>
        <w:tc>
          <w:tcPr>
            <w:tcW w:w="1688" w:type="pct"/>
            <w:shd w:val="clear" w:color="auto" w:fill="auto"/>
          </w:tcPr>
          <w:p w14:paraId="7782C90F" w14:textId="77777777" w:rsidR="00F942E6" w:rsidRPr="00DE0CD7" w:rsidRDefault="00F942E6" w:rsidP="00F942E6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179" w:type="pct"/>
            <w:shd w:val="clear" w:color="auto" w:fill="auto"/>
          </w:tcPr>
          <w:p w14:paraId="6F682E9F" w14:textId="77777777" w:rsidR="00F942E6" w:rsidRPr="00DE0CD7" w:rsidRDefault="00F942E6" w:rsidP="00F942E6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2E6" w:rsidRPr="00DE0CD7" w14:paraId="0014090D" w14:textId="77777777" w:rsidTr="00F942E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pct"/>
            <w:shd w:val="clear" w:color="auto" w:fill="D9F2D0" w:themeFill="accent6" w:themeFillTint="33"/>
            <w:hideMark/>
          </w:tcPr>
          <w:p w14:paraId="206E004E" w14:textId="77777777" w:rsidR="00F942E6" w:rsidRPr="00DE0CD7" w:rsidRDefault="00F942E6" w:rsidP="00F942E6">
            <w:pPr>
              <w:spacing w:after="160" w:line="259" w:lineRule="auto"/>
            </w:pPr>
            <w:r w:rsidRPr="00DE0CD7">
              <w:t>BioV4 – Domestication des plantes</w:t>
            </w:r>
          </w:p>
        </w:tc>
        <w:tc>
          <w:tcPr>
            <w:tcW w:w="1688" w:type="pct"/>
            <w:shd w:val="clear" w:color="auto" w:fill="D9F2D0" w:themeFill="accent6" w:themeFillTint="33"/>
            <w:hideMark/>
          </w:tcPr>
          <w:p w14:paraId="370E836F" w14:textId="77777777" w:rsidR="00F942E6" w:rsidRPr="00DE0CD7" w:rsidRDefault="00F942E6" w:rsidP="00F942E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0CD7">
              <w:rPr>
                <w:b/>
                <w:bCs/>
              </w:rPr>
              <w:t>TP1 – La carotte sauvage et la carotte cultivée</w:t>
            </w:r>
          </w:p>
        </w:tc>
        <w:tc>
          <w:tcPr>
            <w:tcW w:w="2179" w:type="pct"/>
            <w:shd w:val="clear" w:color="auto" w:fill="D9F2D0" w:themeFill="accent6" w:themeFillTint="33"/>
            <w:hideMark/>
          </w:tcPr>
          <w:p w14:paraId="42D4FDA9" w14:textId="16DE6AF4" w:rsidR="00F942E6" w:rsidRPr="00DE0CD7" w:rsidRDefault="00F942E6" w:rsidP="00F942E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0CD7">
              <w:t>Mettre en évidence les conséquences de la domestication</w:t>
            </w:r>
            <w:r>
              <w:t xml:space="preserve"> sur le phénotype d’une plante.</w:t>
            </w:r>
          </w:p>
        </w:tc>
      </w:tr>
      <w:tr w:rsidR="00F942E6" w:rsidRPr="00DE0CD7" w14:paraId="3EA3B134" w14:textId="77777777" w:rsidTr="00F942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" w:type="pct"/>
            <w:shd w:val="clear" w:color="auto" w:fill="D9F2D0" w:themeFill="accent6" w:themeFillTint="33"/>
            <w:hideMark/>
          </w:tcPr>
          <w:p w14:paraId="1BABE43C" w14:textId="77777777" w:rsidR="00F942E6" w:rsidRPr="00DE0CD7" w:rsidRDefault="00F942E6" w:rsidP="00F942E6">
            <w:pPr>
              <w:spacing w:after="160" w:line="259" w:lineRule="auto"/>
            </w:pPr>
          </w:p>
        </w:tc>
        <w:tc>
          <w:tcPr>
            <w:tcW w:w="1688" w:type="pct"/>
            <w:shd w:val="clear" w:color="auto" w:fill="D9F2D0" w:themeFill="accent6" w:themeFillTint="33"/>
            <w:hideMark/>
          </w:tcPr>
          <w:p w14:paraId="2C5F813B" w14:textId="77777777" w:rsidR="00F942E6" w:rsidRPr="00DE0CD7" w:rsidRDefault="00F942E6" w:rsidP="00F942E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0CD7">
              <w:rPr>
                <w:b/>
                <w:bCs/>
              </w:rPr>
              <w:t xml:space="preserve">TP2 – </w:t>
            </w:r>
            <w:r>
              <w:rPr>
                <w:b/>
                <w:bCs/>
              </w:rPr>
              <w:t>Le r</w:t>
            </w:r>
            <w:r w:rsidRPr="00DE0CD7">
              <w:rPr>
                <w:b/>
                <w:bCs/>
              </w:rPr>
              <w:t>iz gluant</w:t>
            </w:r>
          </w:p>
        </w:tc>
        <w:tc>
          <w:tcPr>
            <w:tcW w:w="2179" w:type="pct"/>
            <w:shd w:val="clear" w:color="auto" w:fill="D9F2D0" w:themeFill="accent6" w:themeFillTint="33"/>
            <w:hideMark/>
          </w:tcPr>
          <w:p w14:paraId="66ED74B8" w14:textId="77777777" w:rsidR="00F942E6" w:rsidRPr="00DE0CD7" w:rsidRDefault="00F942E6" w:rsidP="00F942E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0CD7">
              <w:t>Relier une mutation à une modification biochimique.</w:t>
            </w:r>
          </w:p>
        </w:tc>
      </w:tr>
    </w:tbl>
    <w:p w14:paraId="63CC2357" w14:textId="77777777" w:rsidR="00F942E6" w:rsidRDefault="00F942E6"/>
    <w:sectPr w:rsidR="00F942E6" w:rsidSect="00F942E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2E6"/>
    <w:rsid w:val="00152CD7"/>
    <w:rsid w:val="00542A52"/>
    <w:rsid w:val="005E2FCC"/>
    <w:rsid w:val="00B621C7"/>
    <w:rsid w:val="00E02B40"/>
    <w:rsid w:val="00EE4543"/>
    <w:rsid w:val="00F94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E9078"/>
  <w15:chartTrackingRefBased/>
  <w15:docId w15:val="{40B85C5A-46B2-425E-9E83-BE9407047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942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942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942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942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942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942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942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942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942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942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942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942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942E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942E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942E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942E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942E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942E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942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942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942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942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942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942E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942E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942E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942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942E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942E6"/>
    <w:rPr>
      <w:b/>
      <w:bCs/>
      <w:smallCaps/>
      <w:color w:val="0F4761" w:themeColor="accent1" w:themeShade="BF"/>
      <w:spacing w:val="5"/>
    </w:rPr>
  </w:style>
  <w:style w:type="table" w:styleId="Tableausimple1">
    <w:name w:val="Plain Table 1"/>
    <w:basedOn w:val="TableauNormal"/>
    <w:uiPriority w:val="41"/>
    <w:rsid w:val="00F942E6"/>
    <w:pPr>
      <w:spacing w:after="0" w:line="240" w:lineRule="auto"/>
    </w:pPr>
    <w:rPr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243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Rosalie MACEROT</dc:creator>
  <cp:keywords/>
  <dc:description/>
  <cp:lastModifiedBy>Rosalie MACEROT</cp:lastModifiedBy>
  <cp:revision>1</cp:revision>
  <dcterms:created xsi:type="dcterms:W3CDTF">2026-08-30T16:41:00Z</dcterms:created>
  <dcterms:modified xsi:type="dcterms:W3CDTF">2026-08-30T16:46:00Z</dcterms:modified>
</cp:coreProperties>
</file>