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0E6F" w:rsidRPr="001D0E6F" w:rsidRDefault="001D0E6F" w:rsidP="001D0E6F">
      <w:pPr>
        <w:pStyle w:val="Titre2"/>
        <w:jc w:val="center"/>
        <w:rPr>
          <w:sz w:val="56"/>
          <w:szCs w:val="56"/>
        </w:rPr>
      </w:pPr>
      <w:r w:rsidRPr="001D0E6F">
        <w:rPr>
          <w:sz w:val="56"/>
          <w:szCs w:val="56"/>
        </w:rPr>
        <w:t>Le cycle du carbone</w:t>
      </w:r>
    </w:p>
    <w:p w:rsidR="001D0E6F" w:rsidRPr="001D0E6F" w:rsidRDefault="001D0E6F" w:rsidP="001D0E6F">
      <w:pPr>
        <w:pStyle w:val="Titre2"/>
        <w:rPr>
          <w:b w:val="0"/>
          <w:bCs w:val="0"/>
          <w:sz w:val="40"/>
          <w:szCs w:val="40"/>
        </w:rPr>
      </w:pPr>
      <w:hyperlink r:id="rId7" w:history="1">
        <w:r w:rsidRPr="001D0E6F">
          <w:rPr>
            <w:rStyle w:val="Lienhypertexte"/>
            <w:b w:val="0"/>
            <w:bCs w:val="0"/>
            <w:sz w:val="40"/>
            <w:szCs w:val="40"/>
          </w:rPr>
          <w:t>source</w:t>
        </w:r>
      </w:hyperlink>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Le carbone est un des éléments les plus abondants à la surface de la Terre et un élément essentiel de la matière vivante sur notre planète. On le trouve le plus souvent sous forme de composés, essentiellement le dioxyde de carbone et ses dérivés minéraux comme les carbonates ou les matières organiques.</w:t>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Tous interviennent dans un vaste ensemble de réactions chimiques qui sont susceptibles de se développer dans les conditions naturelles. L’eau de mer contient quelques 39 000 Gt (= Gigatonnes = milliards de tonnes) de carbone, essentiellement sous forme de bicarbonates dissous. La quantité de carbone contenue dans les plantes vivantes est modeste (environ 600 Gt) et sensiblement égale à celle présente dans l’atmosphère qui vaut environ 780 Gt. Les sols de surface en contiennent davantage (environ 1 600 Gt) et la matière organique y est présente sous forme de substances de stabilités très diverses. Les réactions d’oxydation causées par l’activité bactérienne recyclent très vite les débris de feuilles et d’herbe, mais beaucoup plus lentement les tourbes et les matières organiques humiques. La majeure partie du carbone est cependant stockée dans les roches sédimentaires calcaires au fond des océans, qui contiennent le faramineux total de 100 000 000 Gt de carbone. Ils contiennent environ 6 000 Gt de combustibles fossiles (pétrole, gaz naturel, charbon), dont seule une fraction est récupérable.</w:t>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Comme le carbone fait partie des éléments indispensables à la vie, il circule constamment entre organismes et “réservoirs”. Il sert ainsi de nutriment et intervient dans la respiration (absorption d’O</w:t>
      </w:r>
      <w:r w:rsidRPr="001D0E6F">
        <w:rPr>
          <w:rFonts w:ascii="inherit" w:eastAsia="Times New Roman" w:hAnsi="inherit" w:cs="Arial"/>
          <w:color w:val="141414"/>
          <w:sz w:val="18"/>
          <w:szCs w:val="18"/>
          <w:bdr w:val="none" w:sz="0" w:space="0" w:color="auto" w:frame="1"/>
          <w:vertAlign w:val="subscript"/>
          <w:lang w:eastAsia="fr-FR"/>
        </w:rPr>
        <w:t>2</w:t>
      </w:r>
      <w:r w:rsidRPr="001D0E6F">
        <w:rPr>
          <w:rFonts w:ascii="Arial" w:eastAsia="Times New Roman" w:hAnsi="Arial" w:cs="Arial"/>
          <w:color w:val="141414"/>
          <w:lang w:eastAsia="fr-FR"/>
        </w:rPr>
        <w:t> et rejet de CO</w:t>
      </w:r>
      <w:r w:rsidRPr="001D0E6F">
        <w:rPr>
          <w:rFonts w:ascii="inherit" w:eastAsia="Times New Roman" w:hAnsi="inherit" w:cs="Arial"/>
          <w:color w:val="141414"/>
          <w:sz w:val="18"/>
          <w:szCs w:val="18"/>
          <w:bdr w:val="none" w:sz="0" w:space="0" w:color="auto" w:frame="1"/>
          <w:vertAlign w:val="subscript"/>
          <w:lang w:eastAsia="fr-FR"/>
        </w:rPr>
        <w:t>2</w:t>
      </w:r>
      <w:r w:rsidRPr="001D0E6F">
        <w:rPr>
          <w:rFonts w:ascii="Arial" w:eastAsia="Times New Roman" w:hAnsi="Arial" w:cs="Arial"/>
          <w:color w:val="141414"/>
          <w:lang w:eastAsia="fr-FR"/>
        </w:rPr>
        <w:t>) et dans la photosynthèse (absorption de CO</w:t>
      </w:r>
      <w:r w:rsidRPr="001D0E6F">
        <w:rPr>
          <w:rFonts w:ascii="inherit" w:eastAsia="Times New Roman" w:hAnsi="inherit" w:cs="Arial"/>
          <w:color w:val="141414"/>
          <w:sz w:val="18"/>
          <w:szCs w:val="18"/>
          <w:bdr w:val="none" w:sz="0" w:space="0" w:color="auto" w:frame="1"/>
          <w:vertAlign w:val="subscript"/>
          <w:lang w:eastAsia="fr-FR"/>
        </w:rPr>
        <w:t>2</w:t>
      </w:r>
      <w:r w:rsidRPr="001D0E6F">
        <w:rPr>
          <w:rFonts w:ascii="Arial" w:eastAsia="Times New Roman" w:hAnsi="Arial" w:cs="Arial"/>
          <w:color w:val="141414"/>
          <w:lang w:eastAsia="fr-FR"/>
        </w:rPr>
        <w:t> et rejet d’O</w:t>
      </w:r>
      <w:r w:rsidRPr="001D0E6F">
        <w:rPr>
          <w:rFonts w:ascii="inherit" w:eastAsia="Times New Roman" w:hAnsi="inherit" w:cs="Arial"/>
          <w:color w:val="141414"/>
          <w:sz w:val="18"/>
          <w:szCs w:val="18"/>
          <w:bdr w:val="none" w:sz="0" w:space="0" w:color="auto" w:frame="1"/>
          <w:vertAlign w:val="subscript"/>
          <w:lang w:eastAsia="fr-FR"/>
        </w:rPr>
        <w:t>2</w:t>
      </w:r>
      <w:r w:rsidRPr="001D0E6F">
        <w:rPr>
          <w:rFonts w:ascii="Arial" w:eastAsia="Times New Roman" w:hAnsi="Arial" w:cs="Arial"/>
          <w:color w:val="141414"/>
          <w:lang w:eastAsia="fr-FR"/>
        </w:rPr>
        <w:t>). À ce carbone qui circule relativement rapidement, il faut ajouter de grandes quantités de carbone sous forme de sédiments, de roches et de combustibles fossiles, situées sous terre ou au fond des océans. Ce carbone-ci, au contraire, est plutôt inerte : les stocks mettent très longtemps à se constituer (par sédimentation ou enfouissement du carbone de surface, phénomènes très lents) et à se dégrader (par altération des roches et via le volcanisme).</w:t>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noProof/>
          <w:color w:val="0073C6"/>
          <w:bdr w:val="none" w:sz="0" w:space="0" w:color="auto" w:frame="1"/>
          <w:lang w:eastAsia="fr-FR"/>
        </w:rPr>
        <w:drawing>
          <wp:inline distT="0" distB="0" distL="0" distR="0">
            <wp:extent cx="5756910" cy="3872865"/>
            <wp:effectExtent l="0" t="0" r="0" b="635"/>
            <wp:docPr id="13" name="Image 13" descr="Flux de Carbon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x de Carbon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872865"/>
                    </a:xfrm>
                    <a:prstGeom prst="rect">
                      <a:avLst/>
                    </a:prstGeom>
                    <a:noFill/>
                    <a:ln>
                      <a:noFill/>
                    </a:ln>
                  </pic:spPr>
                </pic:pic>
              </a:graphicData>
            </a:graphic>
          </wp:inline>
        </w:drawing>
      </w:r>
    </w:p>
    <w:p w:rsidR="001D0E6F" w:rsidRPr="001D0E6F" w:rsidRDefault="001D0E6F" w:rsidP="001D0E6F">
      <w:pPr>
        <w:jc w:val="center"/>
        <w:textAlignment w:val="baseline"/>
        <w:outlineLvl w:val="4"/>
        <w:rPr>
          <w:rFonts w:ascii="georgia" w:eastAsia="Times New Roman" w:hAnsi="georgia" w:cs="Times New Roman"/>
          <w:i/>
          <w:iCs/>
          <w:color w:val="0074C7"/>
          <w:sz w:val="18"/>
          <w:szCs w:val="18"/>
          <w:lang w:eastAsia="fr-FR"/>
        </w:rPr>
      </w:pPr>
      <w:r w:rsidRPr="001D0E6F">
        <w:rPr>
          <w:rFonts w:ascii="inherit" w:eastAsia="Times New Roman" w:hAnsi="inherit" w:cs="Times New Roman"/>
          <w:i/>
          <w:iCs/>
          <w:color w:val="0074C7"/>
          <w:sz w:val="18"/>
          <w:szCs w:val="18"/>
          <w:bdr w:val="none" w:sz="0" w:space="0" w:color="auto" w:frame="1"/>
          <w:lang w:eastAsia="fr-FR"/>
        </w:rPr>
        <w:lastRenderedPageBreak/>
        <w:t>La circulation du carbone</w:t>
      </w:r>
    </w:p>
    <w:p w:rsidR="001D0E6F" w:rsidRPr="001D0E6F" w:rsidRDefault="001D0E6F" w:rsidP="001D0E6F">
      <w:pPr>
        <w:textAlignment w:val="baseline"/>
        <w:rPr>
          <w:rFonts w:ascii="Arial" w:eastAsia="Times New Roman" w:hAnsi="Arial" w:cs="Arial"/>
          <w:color w:val="141414"/>
          <w:lang w:eastAsia="fr-FR"/>
        </w:rPr>
      </w:pPr>
      <w:r w:rsidRPr="001D0E6F">
        <w:rPr>
          <w:rFonts w:ascii="inherit" w:eastAsia="Times New Roman" w:hAnsi="inherit" w:cs="Arial"/>
          <w:b/>
          <w:bCs/>
          <w:color w:val="141414"/>
          <w:bdr w:val="none" w:sz="0" w:space="0" w:color="auto" w:frame="1"/>
          <w:lang w:eastAsia="fr-FR"/>
        </w:rPr>
        <w:t>L’ensemble de ces flux s’appelle le cycle du carbone</w:t>
      </w:r>
      <w:r w:rsidRPr="001D0E6F">
        <w:rPr>
          <w:rFonts w:ascii="Arial" w:eastAsia="Times New Roman" w:hAnsi="Arial" w:cs="Arial"/>
          <w:color w:val="141414"/>
          <w:lang w:eastAsia="fr-FR"/>
        </w:rPr>
        <w:t>, c’est-à-dire que, grossièrement, il n’y a pas de création de nouvel atome de carbone, mais des passages par différentes molécules, dans les différents réservoirs.</w:t>
      </w:r>
    </w:p>
    <w:p w:rsidR="001D0E6F" w:rsidRPr="001D0E6F" w:rsidRDefault="001D0E6F" w:rsidP="001D0E6F">
      <w:pPr>
        <w:spacing w:before="330" w:after="330"/>
        <w:jc w:val="center"/>
        <w:textAlignment w:val="baseline"/>
        <w:outlineLvl w:val="1"/>
        <w:rPr>
          <w:rFonts w:ascii="georgia" w:eastAsia="Times New Roman" w:hAnsi="georgia" w:cs="Times New Roman"/>
          <w:color w:val="141414"/>
          <w:sz w:val="40"/>
          <w:szCs w:val="40"/>
          <w:lang w:eastAsia="fr-FR"/>
        </w:rPr>
      </w:pPr>
      <w:r w:rsidRPr="001D0E6F">
        <w:rPr>
          <w:rFonts w:ascii="georgia" w:eastAsia="Times New Roman" w:hAnsi="georgia" w:cs="Times New Roman"/>
          <w:color w:val="141414"/>
          <w:sz w:val="40"/>
          <w:szCs w:val="40"/>
          <w:lang w:eastAsia="fr-FR"/>
        </w:rPr>
        <w:t>Les puits de carbone</w:t>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En 2000, le GIEC a défini le </w:t>
      </w:r>
      <w:r w:rsidRPr="001D0E6F">
        <w:rPr>
          <w:rFonts w:ascii="inherit" w:eastAsia="Times New Roman" w:hAnsi="inherit" w:cs="Arial"/>
          <w:b/>
          <w:bCs/>
          <w:color w:val="141414"/>
          <w:bdr w:val="none" w:sz="0" w:space="0" w:color="auto" w:frame="1"/>
          <w:lang w:eastAsia="fr-FR"/>
        </w:rPr>
        <w:t>puits de carbone</w:t>
      </w:r>
      <w:r w:rsidRPr="001D0E6F">
        <w:rPr>
          <w:rFonts w:ascii="Arial" w:eastAsia="Times New Roman" w:hAnsi="Arial" w:cs="Arial"/>
          <w:color w:val="141414"/>
          <w:lang w:eastAsia="fr-FR"/>
        </w:rPr>
        <w:t> comme « </w:t>
      </w:r>
      <w:r w:rsidRPr="001D0E6F">
        <w:rPr>
          <w:rFonts w:ascii="inherit" w:eastAsia="Times New Roman" w:hAnsi="inherit" w:cs="Arial"/>
          <w:i/>
          <w:iCs/>
          <w:color w:val="141414"/>
          <w:bdr w:val="none" w:sz="0" w:space="0" w:color="auto" w:frame="1"/>
          <w:lang w:eastAsia="fr-FR"/>
        </w:rPr>
        <w:t>tout processus ou mécanisme qui absorbe un gaz à effet de serre, tels le CO</w:t>
      </w:r>
      <w:r w:rsidRPr="001D0E6F">
        <w:rPr>
          <w:rFonts w:ascii="inherit" w:eastAsia="Times New Roman" w:hAnsi="inherit" w:cs="Arial"/>
          <w:i/>
          <w:iCs/>
          <w:color w:val="141414"/>
          <w:sz w:val="18"/>
          <w:szCs w:val="18"/>
          <w:bdr w:val="none" w:sz="0" w:space="0" w:color="auto" w:frame="1"/>
          <w:vertAlign w:val="subscript"/>
          <w:lang w:eastAsia="fr-FR"/>
        </w:rPr>
        <w:t>2</w:t>
      </w:r>
      <w:r w:rsidRPr="001D0E6F">
        <w:rPr>
          <w:rFonts w:ascii="inherit" w:eastAsia="Times New Roman" w:hAnsi="inherit" w:cs="Arial"/>
          <w:i/>
          <w:iCs/>
          <w:color w:val="141414"/>
          <w:bdr w:val="none" w:sz="0" w:space="0" w:color="auto" w:frame="1"/>
          <w:lang w:eastAsia="fr-FR"/>
        </w:rPr>
        <w:t> et le CH</w:t>
      </w:r>
      <w:r w:rsidRPr="001D0E6F">
        <w:rPr>
          <w:rFonts w:ascii="inherit" w:eastAsia="Times New Roman" w:hAnsi="inherit" w:cs="Arial"/>
          <w:i/>
          <w:iCs/>
          <w:color w:val="141414"/>
          <w:sz w:val="18"/>
          <w:szCs w:val="18"/>
          <w:bdr w:val="none" w:sz="0" w:space="0" w:color="auto" w:frame="1"/>
          <w:vertAlign w:val="subscript"/>
          <w:lang w:eastAsia="fr-FR"/>
        </w:rPr>
        <w:t>4</w:t>
      </w:r>
      <w:r w:rsidRPr="001D0E6F">
        <w:rPr>
          <w:rFonts w:ascii="inherit" w:eastAsia="Times New Roman" w:hAnsi="inherit" w:cs="Arial"/>
          <w:i/>
          <w:iCs/>
          <w:color w:val="141414"/>
          <w:bdr w:val="none" w:sz="0" w:space="0" w:color="auto" w:frame="1"/>
          <w:lang w:eastAsia="fr-FR"/>
        </w:rPr>
        <w:t>, […] présent dans l’atmosphère</w:t>
      </w:r>
      <w:r w:rsidRPr="001D0E6F">
        <w:rPr>
          <w:rFonts w:ascii="Arial" w:eastAsia="Times New Roman" w:hAnsi="Arial" w:cs="Arial"/>
          <w:color w:val="141414"/>
          <w:lang w:eastAsia="fr-FR"/>
        </w:rPr>
        <w:t> ». Ce sont donc des lieux de stockage du carbone (CO</w:t>
      </w:r>
      <w:r w:rsidRPr="001D0E6F">
        <w:rPr>
          <w:rFonts w:ascii="inherit" w:eastAsia="Times New Roman" w:hAnsi="inherit" w:cs="Arial"/>
          <w:color w:val="141414"/>
          <w:sz w:val="18"/>
          <w:szCs w:val="18"/>
          <w:bdr w:val="none" w:sz="0" w:space="0" w:color="auto" w:frame="1"/>
          <w:vertAlign w:val="subscript"/>
          <w:lang w:eastAsia="fr-FR"/>
        </w:rPr>
        <w:t>2</w:t>
      </w:r>
      <w:r w:rsidRPr="001D0E6F">
        <w:rPr>
          <w:rFonts w:ascii="Arial" w:eastAsia="Times New Roman" w:hAnsi="Arial" w:cs="Arial"/>
          <w:color w:val="141414"/>
          <w:lang w:eastAsia="fr-FR"/>
        </w:rPr>
        <w:t>) que l’on trouve sous différentes formes (carbonates, molécules organiques, forme gazeuse ou solide) à différents endroits sur notre planète (océan, atmosphère, biomasse, sols).</w:t>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Le carbone présent dans l’atmosphère représente une infime partie du carbone de la planète – mais c’est la partie qui a une grande influence sur notre vie quotidienne… Nous allons donc nous y intéresser de plus près.</w:t>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Rappelons que </w:t>
      </w:r>
      <w:r w:rsidRPr="001D0E6F">
        <w:rPr>
          <w:rFonts w:ascii="inherit" w:eastAsia="Times New Roman" w:hAnsi="inherit" w:cs="Arial"/>
          <w:b/>
          <w:bCs/>
          <w:color w:val="141414"/>
          <w:bdr w:val="none" w:sz="0" w:space="0" w:color="auto" w:frame="1"/>
          <w:lang w:eastAsia="fr-FR"/>
        </w:rPr>
        <w:t>les 4 réservoirs de carbone</w:t>
      </w:r>
      <w:r w:rsidRPr="001D0E6F">
        <w:rPr>
          <w:rFonts w:ascii="Arial" w:eastAsia="Times New Roman" w:hAnsi="Arial" w:cs="Arial"/>
          <w:color w:val="141414"/>
          <w:lang w:eastAsia="fr-FR"/>
        </w:rPr>
        <w:t> sont :</w:t>
      </w:r>
    </w:p>
    <w:p w:rsidR="001D0E6F" w:rsidRPr="001D0E6F" w:rsidRDefault="001D0E6F" w:rsidP="001D0E6F">
      <w:pPr>
        <w:numPr>
          <w:ilvl w:val="0"/>
          <w:numId w:val="1"/>
        </w:numPr>
        <w:ind w:left="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les roches et sédiments, 100 000 000 Gt.</w:t>
      </w:r>
    </w:p>
    <w:p w:rsidR="001D0E6F" w:rsidRPr="001D0E6F" w:rsidRDefault="001D0E6F" w:rsidP="001D0E6F">
      <w:pPr>
        <w:numPr>
          <w:ilvl w:val="0"/>
          <w:numId w:val="1"/>
        </w:numPr>
        <w:ind w:left="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l’océan : 40 000 Gt</w:t>
      </w:r>
    </w:p>
    <w:p w:rsidR="001D0E6F" w:rsidRPr="001D0E6F" w:rsidRDefault="001D0E6F" w:rsidP="001D0E6F">
      <w:pPr>
        <w:numPr>
          <w:ilvl w:val="0"/>
          <w:numId w:val="1"/>
        </w:numPr>
        <w:ind w:left="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la matière vivante : 600 Gt</w:t>
      </w:r>
    </w:p>
    <w:p w:rsidR="001D0E6F" w:rsidRPr="001D0E6F" w:rsidRDefault="001D0E6F" w:rsidP="001D0E6F">
      <w:pPr>
        <w:numPr>
          <w:ilvl w:val="0"/>
          <w:numId w:val="1"/>
        </w:numPr>
        <w:ind w:left="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l’atmosphère : 800 Gt (mais seulement 500 en 1750 !)</w:t>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L’Humanité envoie tous les ans près de 10 Gt de carbone dans l’atmosphère (1 Gt de carbone est émise par 3,67 Gt de CO</w:t>
      </w:r>
      <w:r w:rsidRPr="001D0E6F">
        <w:rPr>
          <w:rFonts w:ascii="inherit" w:eastAsia="Times New Roman" w:hAnsi="inherit" w:cs="Arial"/>
          <w:color w:val="141414"/>
          <w:sz w:val="18"/>
          <w:szCs w:val="18"/>
          <w:bdr w:val="none" w:sz="0" w:space="0" w:color="auto" w:frame="1"/>
          <w:vertAlign w:val="subscript"/>
          <w:lang w:eastAsia="fr-FR"/>
        </w:rPr>
        <w:t>2</w:t>
      </w:r>
      <w:r w:rsidRPr="001D0E6F">
        <w:rPr>
          <w:rFonts w:ascii="Arial" w:eastAsia="Times New Roman" w:hAnsi="Arial" w:cs="Arial"/>
          <w:color w:val="141414"/>
          <w:lang w:eastAsia="fr-FR"/>
        </w:rPr>
        <w:t>) :</w:t>
      </w:r>
    </w:p>
    <w:p w:rsidR="001D0E6F" w:rsidRPr="001D0E6F" w:rsidRDefault="001D0E6F" w:rsidP="001D0E6F">
      <w:pPr>
        <w:numPr>
          <w:ilvl w:val="0"/>
          <w:numId w:val="2"/>
        </w:numPr>
        <w:ind w:left="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8,5 Gt par utilisation des combustibles fossiles</w:t>
      </w:r>
    </w:p>
    <w:p w:rsidR="001D0E6F" w:rsidRPr="001D0E6F" w:rsidRDefault="001D0E6F" w:rsidP="001D0E6F">
      <w:pPr>
        <w:numPr>
          <w:ilvl w:val="0"/>
          <w:numId w:val="2"/>
        </w:numPr>
        <w:ind w:left="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1 Gt par déforestation.</w:t>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Par chance, tout le carbone émis dans l’atmosphère n’y reste pas : une partie est absorbée par les océans et la végétation, en raison du cycle du carbone.</w:t>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Les scientifiques estiment que, pour le moment, environ la moitié du CO</w:t>
      </w:r>
      <w:r w:rsidRPr="001D0E6F">
        <w:rPr>
          <w:rFonts w:ascii="inherit" w:eastAsia="Times New Roman" w:hAnsi="inherit" w:cs="Arial"/>
          <w:color w:val="141414"/>
          <w:sz w:val="18"/>
          <w:szCs w:val="18"/>
          <w:bdr w:val="none" w:sz="0" w:space="0" w:color="auto" w:frame="1"/>
          <w:vertAlign w:val="subscript"/>
          <w:lang w:eastAsia="fr-FR"/>
        </w:rPr>
        <w:t>2</w:t>
      </w:r>
      <w:r w:rsidRPr="001D0E6F">
        <w:rPr>
          <w:rFonts w:ascii="Arial" w:eastAsia="Times New Roman" w:hAnsi="Arial" w:cs="Arial"/>
          <w:color w:val="141414"/>
          <w:lang w:eastAsia="fr-FR"/>
        </w:rPr>
        <w:t> anthropique est absorbée par les océans et les végétaux.</w:t>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Rappelons qu’il existe deux cycles du carbone en interaction étroite, mais répondant à des échelles de temps très différentes :</w:t>
      </w:r>
    </w:p>
    <w:p w:rsidR="001D0E6F" w:rsidRPr="001D0E6F" w:rsidRDefault="001D0E6F" w:rsidP="001D0E6F">
      <w:pPr>
        <w:numPr>
          <w:ilvl w:val="0"/>
          <w:numId w:val="3"/>
        </w:numPr>
        <w:ind w:left="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un cycle court, qui implique le vivant, les océans de surface et les sols,</w:t>
      </w:r>
    </w:p>
    <w:p w:rsidR="001D0E6F" w:rsidRPr="001D0E6F" w:rsidRDefault="001D0E6F" w:rsidP="001D0E6F">
      <w:pPr>
        <w:numPr>
          <w:ilvl w:val="0"/>
          <w:numId w:val="3"/>
        </w:numPr>
        <w:ind w:left="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et un cycle long dans lequel interviennent l’océan profond, les roches et sédiments, les volcans et les combustibles fossiles.</w:t>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Depuis le début de l’industrialisation, l’action de l’homme a perturbé cet équilibre. Pour répondre à des besoins grandissants en énergie, nous sommes allé puiser dans les ressources fossiles (pétrole, gaz naturel, charbon) et les avons brûlé en grandes quantités, émettant d’immenses quantités de carbone vers l’atmosphère. Le recours massif aux énergies fossiles a en quelque sorte court-circuité le cycle naturel du carbone : les stocks de carbone fossile qui normalement aurait dû se dégrader au rythme de leur reconstitution, c’est-à-dire très lentement, sont actuellement consommés à l’échelle de temps de la vie humaine, c’est-à-dire très rapidement… sans que le rythme de leur reconstitution n’ait été accéléré.</w:t>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Cela pose deux problème : d’une part, l’épuisement de la ressource est inéluctable, puisqu’on la consomme bien plus vite qu’elle ne se forme. D’autre part, du carbone est envoyé dans l’atmosphère à une vitesse telle qu’il ne peut que s’y accumuler… d’où l’impact sur le climat.</w:t>
      </w:r>
    </w:p>
    <w:p w:rsidR="001D0E6F" w:rsidRPr="001D0E6F" w:rsidRDefault="001D0E6F" w:rsidP="001D0E6F">
      <w:pPr>
        <w:spacing w:before="330" w:after="330"/>
        <w:textAlignment w:val="baseline"/>
        <w:outlineLvl w:val="1"/>
        <w:rPr>
          <w:rFonts w:ascii="georgia" w:eastAsia="Times New Roman" w:hAnsi="georgia" w:cs="Times New Roman"/>
          <w:color w:val="141414"/>
          <w:sz w:val="36"/>
          <w:szCs w:val="36"/>
          <w:lang w:eastAsia="fr-FR"/>
        </w:rPr>
      </w:pPr>
      <w:bookmarkStart w:id="0" w:name="_GoBack"/>
      <w:bookmarkEnd w:id="0"/>
      <w:r w:rsidRPr="001D0E6F">
        <w:rPr>
          <w:rFonts w:ascii="georgia" w:eastAsia="Times New Roman" w:hAnsi="georgia" w:cs="Times New Roman"/>
          <w:color w:val="141414"/>
          <w:sz w:val="36"/>
          <w:szCs w:val="36"/>
          <w:lang w:eastAsia="fr-FR"/>
        </w:rPr>
        <w:lastRenderedPageBreak/>
        <w:t>L’effet « boule de neige »</w:t>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Les scientifiques craignent le déclenchement d’un effet « boule de neige » (rétroaction positive) dans le cycle, où le réchauffement conduirait à un réchauffement encore accru ; cet emballement de l’effet de serre serait lié la disparition des glaces et surtout la libération de stocks naturels de gaz à effet de serre actuellement fixés par le pergélisol, les hydrates de méthane marins, ou encore la biomasse.</w:t>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Il est également craint que, suite au réchauffement planétaire, de grandes quantités de méthane soient libérées à partir des clathrates (hydrates de méthane qui tapissent le fond des océans) et de la toundra sibérienne qui commence à dégeler, le méthane étant 28 fois plus puissant comme gaz à effet de serre que le dioxyde de carbone.</w:t>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On estime que l’extinction massive d’espèces lors du Permien-Trias il y a 250 millions d’années (disparition de 95 % de la vie marine et 70 % des espèces terrestres) pourrait avoir été causée par un tel emballement.</w:t>
      </w:r>
    </w:p>
    <w:p w:rsidR="001D0E6F" w:rsidRDefault="001D0E6F">
      <w:pPr>
        <w:rPr>
          <w:rFonts w:ascii="georgia" w:eastAsia="Times New Roman" w:hAnsi="georgia" w:cs="Times New Roman"/>
          <w:color w:val="141414"/>
          <w:sz w:val="36"/>
          <w:szCs w:val="36"/>
          <w:lang w:eastAsia="fr-FR"/>
        </w:rPr>
      </w:pPr>
      <w:r>
        <w:rPr>
          <w:rFonts w:ascii="georgia" w:eastAsia="Times New Roman" w:hAnsi="georgia" w:cs="Times New Roman"/>
          <w:color w:val="141414"/>
          <w:sz w:val="36"/>
          <w:szCs w:val="36"/>
          <w:lang w:eastAsia="fr-FR"/>
        </w:rPr>
        <w:br w:type="page"/>
      </w:r>
    </w:p>
    <w:p w:rsidR="001D0E6F" w:rsidRPr="001D0E6F" w:rsidRDefault="001D0E6F" w:rsidP="001D0E6F">
      <w:pPr>
        <w:spacing w:before="330" w:after="330"/>
        <w:textAlignment w:val="baseline"/>
        <w:outlineLvl w:val="1"/>
        <w:rPr>
          <w:rFonts w:ascii="georgia" w:eastAsia="Times New Roman" w:hAnsi="georgia" w:cs="Times New Roman"/>
          <w:color w:val="141414"/>
          <w:sz w:val="36"/>
          <w:szCs w:val="36"/>
          <w:lang w:eastAsia="fr-FR"/>
        </w:rPr>
      </w:pPr>
      <w:r w:rsidRPr="001D0E6F">
        <w:rPr>
          <w:rFonts w:ascii="georgia" w:eastAsia="Times New Roman" w:hAnsi="georgia" w:cs="Times New Roman"/>
          <w:color w:val="141414"/>
          <w:sz w:val="36"/>
          <w:szCs w:val="36"/>
          <w:lang w:eastAsia="fr-FR"/>
        </w:rPr>
        <w:lastRenderedPageBreak/>
        <w:t>Les flux de carbone</w:t>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On peut dès lors dresser le bilan annuel entre les émissions de CO2 et son absorption par les puits (figurent aussi le montant des stocks) :</w:t>
      </w:r>
    </w:p>
    <w:p w:rsid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noProof/>
          <w:color w:val="0073C6"/>
          <w:bdr w:val="none" w:sz="0" w:space="0" w:color="auto" w:frame="1"/>
          <w:lang w:eastAsia="fr-FR"/>
        </w:rPr>
        <w:drawing>
          <wp:inline distT="0" distB="0" distL="0" distR="0">
            <wp:extent cx="5756910" cy="4130675"/>
            <wp:effectExtent l="0" t="0" r="0" b="0"/>
            <wp:docPr id="12" name="Image 12" descr="Cycle du Carbon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cle du Carbon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4130675"/>
                    </a:xfrm>
                    <a:prstGeom prst="rect">
                      <a:avLst/>
                    </a:prstGeom>
                    <a:noFill/>
                    <a:ln>
                      <a:noFill/>
                    </a:ln>
                  </pic:spPr>
                </pic:pic>
              </a:graphicData>
            </a:graphic>
          </wp:inline>
        </w:drawing>
      </w:r>
    </w:p>
    <w:p w:rsidR="001D0E6F" w:rsidRDefault="001D0E6F" w:rsidP="001D0E6F">
      <w:pPr>
        <w:textAlignment w:val="baseline"/>
        <w:rPr>
          <w:rFonts w:ascii="Arial" w:eastAsia="Times New Roman" w:hAnsi="Arial" w:cs="Arial"/>
          <w:color w:val="141414"/>
          <w:lang w:eastAsia="fr-FR"/>
        </w:rPr>
      </w:pPr>
    </w:p>
    <w:p w:rsidR="001D0E6F" w:rsidRPr="001D0E6F" w:rsidRDefault="001D0E6F" w:rsidP="001D0E6F">
      <w:pPr>
        <w:textAlignment w:val="baseline"/>
        <w:rPr>
          <w:rFonts w:ascii="Arial" w:eastAsia="Times New Roman" w:hAnsi="Arial" w:cs="Arial"/>
          <w:color w:val="141414"/>
          <w:lang w:eastAsia="fr-FR"/>
        </w:rPr>
      </w:pPr>
    </w:p>
    <w:p w:rsid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noProof/>
          <w:color w:val="0073C6"/>
          <w:bdr w:val="none" w:sz="0" w:space="0" w:color="auto" w:frame="1"/>
          <w:lang w:eastAsia="fr-FR"/>
        </w:rPr>
        <w:drawing>
          <wp:inline distT="0" distB="0" distL="0" distR="0">
            <wp:extent cx="5756910" cy="2667635"/>
            <wp:effectExtent l="0" t="0" r="0" b="0"/>
            <wp:docPr id="11" name="Image 11" descr="Flux de Carbon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ux de Carbon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2667635"/>
                    </a:xfrm>
                    <a:prstGeom prst="rect">
                      <a:avLst/>
                    </a:prstGeom>
                    <a:noFill/>
                    <a:ln>
                      <a:noFill/>
                    </a:ln>
                  </pic:spPr>
                </pic:pic>
              </a:graphicData>
            </a:graphic>
          </wp:inline>
        </w:drawing>
      </w:r>
    </w:p>
    <w:p w:rsidR="001D0E6F" w:rsidRPr="001D0E6F" w:rsidRDefault="001D0E6F" w:rsidP="001D0E6F">
      <w:pPr>
        <w:textAlignment w:val="baseline"/>
        <w:rPr>
          <w:rFonts w:ascii="Arial" w:eastAsia="Times New Roman" w:hAnsi="Arial" w:cs="Arial"/>
          <w:color w:val="141414"/>
          <w:lang w:eastAsia="fr-FR"/>
        </w:rPr>
      </w:pPr>
    </w:p>
    <w:p w:rsid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noProof/>
          <w:color w:val="0073C6"/>
          <w:bdr w:val="none" w:sz="0" w:space="0" w:color="auto" w:frame="1"/>
          <w:lang w:eastAsia="fr-FR"/>
        </w:rPr>
        <w:lastRenderedPageBreak/>
        <w:drawing>
          <wp:inline distT="0" distB="0" distL="0" distR="0">
            <wp:extent cx="5593080" cy="4632960"/>
            <wp:effectExtent l="0" t="0" r="0" b="2540"/>
            <wp:docPr id="10" name="Image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3080" cy="4632960"/>
                    </a:xfrm>
                    <a:prstGeom prst="rect">
                      <a:avLst/>
                    </a:prstGeom>
                    <a:noFill/>
                    <a:ln>
                      <a:noFill/>
                    </a:ln>
                  </pic:spPr>
                </pic:pic>
              </a:graphicData>
            </a:graphic>
          </wp:inline>
        </w:drawing>
      </w:r>
    </w:p>
    <w:p w:rsidR="001D0E6F" w:rsidRPr="001D0E6F" w:rsidRDefault="001D0E6F" w:rsidP="001D0E6F">
      <w:pPr>
        <w:textAlignment w:val="baseline"/>
        <w:rPr>
          <w:rFonts w:ascii="Arial" w:eastAsia="Times New Roman" w:hAnsi="Arial" w:cs="Arial"/>
          <w:color w:val="141414"/>
          <w:lang w:eastAsia="fr-FR"/>
        </w:rPr>
      </w:pP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noProof/>
          <w:color w:val="0073C6"/>
          <w:bdr w:val="none" w:sz="0" w:space="0" w:color="auto" w:frame="1"/>
          <w:lang w:eastAsia="fr-FR"/>
        </w:rPr>
        <w:drawing>
          <wp:inline distT="0" distB="0" distL="0" distR="0">
            <wp:extent cx="5756910" cy="3288030"/>
            <wp:effectExtent l="0" t="0" r="0" b="1270"/>
            <wp:docPr id="9" name="Image 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3288030"/>
                    </a:xfrm>
                    <a:prstGeom prst="rect">
                      <a:avLst/>
                    </a:prstGeom>
                    <a:noFill/>
                    <a:ln>
                      <a:noFill/>
                    </a:ln>
                  </pic:spPr>
                </pic:pic>
              </a:graphicData>
            </a:graphic>
          </wp:inline>
        </w:drawing>
      </w:r>
    </w:p>
    <w:p w:rsidR="001D0E6F" w:rsidRPr="001D0E6F" w:rsidRDefault="001D0E6F" w:rsidP="001D0E6F">
      <w:pPr>
        <w:textAlignment w:val="baseline"/>
        <w:rPr>
          <w:rFonts w:ascii="Arial" w:eastAsia="Times New Roman" w:hAnsi="Arial" w:cs="Arial"/>
          <w:color w:val="141414"/>
          <w:lang w:eastAsia="fr-FR"/>
        </w:rPr>
      </w:pPr>
      <w:r w:rsidRPr="001D0E6F">
        <w:rPr>
          <w:rFonts w:ascii="inherit" w:eastAsia="Times New Roman" w:hAnsi="inherit" w:cs="Arial"/>
          <w:i/>
          <w:iCs/>
          <w:color w:val="141414"/>
          <w:bdr w:val="none" w:sz="0" w:space="0" w:color="auto" w:frame="1"/>
          <w:lang w:eastAsia="fr-FR"/>
        </w:rPr>
        <w:t>Ce graphique présente : (i) sous forme de flèches, les flux de carbone entre les réservoirs sur la période 1990-1999 en milliards de tonnes d’équivalent CO2 par an ; (ii) entre crochets, la taille des réservoirs en milliards de tonnes d’équivalent CO2 et leur variation sur la période 1750-1994. Réservoirs et flux pré-industriels sont en noir. Ceux qui sont liés au développement des activités anthropiques à partir de 1750 sont en rouge.</w:t>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Les chiffres de ces graphiques datant toutefois un peu, d’où l’intérêt de passer à l’analyse fine du budget carbone.</w:t>
      </w:r>
    </w:p>
    <w:p w:rsidR="001D0E6F" w:rsidRPr="001D0E6F" w:rsidRDefault="001D0E6F" w:rsidP="001D0E6F">
      <w:pPr>
        <w:spacing w:before="330" w:after="330"/>
        <w:textAlignment w:val="baseline"/>
        <w:outlineLvl w:val="1"/>
        <w:rPr>
          <w:rFonts w:ascii="georgia" w:eastAsia="Times New Roman" w:hAnsi="georgia" w:cs="Times New Roman"/>
          <w:color w:val="141414"/>
          <w:sz w:val="36"/>
          <w:szCs w:val="36"/>
          <w:lang w:eastAsia="fr-FR"/>
        </w:rPr>
      </w:pPr>
      <w:r w:rsidRPr="001D0E6F">
        <w:rPr>
          <w:rFonts w:ascii="georgia" w:eastAsia="Times New Roman" w:hAnsi="georgia" w:cs="Times New Roman"/>
          <w:color w:val="141414"/>
          <w:sz w:val="36"/>
          <w:szCs w:val="36"/>
          <w:lang w:eastAsia="fr-FR"/>
        </w:rPr>
        <w:lastRenderedPageBreak/>
        <w:t>L’évolution du budget Carbone de la planète</w:t>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Le Budget Carbone 2010 de la planète a ainsi été celui-ci :</w:t>
      </w:r>
    </w:p>
    <w:p w:rsidR="001D0E6F" w:rsidRPr="001D0E6F" w:rsidRDefault="001D0E6F" w:rsidP="001D0E6F">
      <w:pPr>
        <w:numPr>
          <w:ilvl w:val="0"/>
          <w:numId w:val="4"/>
        </w:numPr>
        <w:ind w:left="0"/>
        <w:textAlignment w:val="baseline"/>
        <w:rPr>
          <w:rFonts w:ascii="Arial" w:eastAsia="Times New Roman" w:hAnsi="Arial" w:cs="Arial"/>
          <w:color w:val="141414"/>
          <w:lang w:eastAsia="fr-FR"/>
        </w:rPr>
      </w:pPr>
      <w:r w:rsidRPr="001D0E6F">
        <w:rPr>
          <w:rFonts w:ascii="inherit" w:eastAsia="Times New Roman" w:hAnsi="inherit" w:cs="Arial"/>
          <w:b/>
          <w:bCs/>
          <w:color w:val="141414"/>
          <w:bdr w:val="none" w:sz="0" w:space="0" w:color="auto" w:frame="1"/>
          <w:lang w:eastAsia="fr-FR"/>
        </w:rPr>
        <w:t>émissions par combustion d’hydrocarbures : + 8,5 Gt</w:t>
      </w:r>
    </w:p>
    <w:p w:rsidR="001D0E6F" w:rsidRPr="001D0E6F" w:rsidRDefault="001D0E6F" w:rsidP="001D0E6F">
      <w:pPr>
        <w:numPr>
          <w:ilvl w:val="0"/>
          <w:numId w:val="4"/>
        </w:numPr>
        <w:ind w:left="0"/>
        <w:textAlignment w:val="baseline"/>
        <w:rPr>
          <w:rFonts w:ascii="Arial" w:eastAsia="Times New Roman" w:hAnsi="Arial" w:cs="Arial"/>
          <w:color w:val="141414"/>
          <w:lang w:eastAsia="fr-FR"/>
        </w:rPr>
      </w:pPr>
      <w:r w:rsidRPr="001D0E6F">
        <w:rPr>
          <w:rFonts w:ascii="inherit" w:eastAsia="Times New Roman" w:hAnsi="inherit" w:cs="Arial"/>
          <w:b/>
          <w:bCs/>
          <w:color w:val="141414"/>
          <w:bdr w:val="none" w:sz="0" w:space="0" w:color="auto" w:frame="1"/>
          <w:lang w:eastAsia="fr-FR"/>
        </w:rPr>
        <w:t>émissions par déforestation : + 1 Gt</w:t>
      </w:r>
    </w:p>
    <w:p w:rsidR="001D0E6F" w:rsidRPr="001D0E6F" w:rsidRDefault="001D0E6F" w:rsidP="001D0E6F">
      <w:pPr>
        <w:numPr>
          <w:ilvl w:val="0"/>
          <w:numId w:val="4"/>
        </w:numPr>
        <w:ind w:left="0"/>
        <w:textAlignment w:val="baseline"/>
        <w:rPr>
          <w:rFonts w:ascii="Arial" w:eastAsia="Times New Roman" w:hAnsi="Arial" w:cs="Arial"/>
          <w:color w:val="141414"/>
          <w:lang w:eastAsia="fr-FR"/>
        </w:rPr>
      </w:pPr>
      <w:r w:rsidRPr="001D0E6F">
        <w:rPr>
          <w:rFonts w:ascii="inherit" w:eastAsia="Times New Roman" w:hAnsi="inherit" w:cs="Arial"/>
          <w:b/>
          <w:bCs/>
          <w:color w:val="141414"/>
          <w:bdr w:val="none" w:sz="0" w:space="0" w:color="auto" w:frame="1"/>
          <w:lang w:eastAsia="fr-FR"/>
        </w:rPr>
        <w:t>absorption par les océans : -2,5 Gt</w:t>
      </w:r>
    </w:p>
    <w:p w:rsidR="001D0E6F" w:rsidRPr="001D0E6F" w:rsidRDefault="001D0E6F" w:rsidP="001D0E6F">
      <w:pPr>
        <w:numPr>
          <w:ilvl w:val="0"/>
          <w:numId w:val="4"/>
        </w:numPr>
        <w:ind w:left="0"/>
        <w:textAlignment w:val="baseline"/>
        <w:rPr>
          <w:rFonts w:ascii="Arial" w:eastAsia="Times New Roman" w:hAnsi="Arial" w:cs="Arial"/>
          <w:color w:val="141414"/>
          <w:lang w:eastAsia="fr-FR"/>
        </w:rPr>
      </w:pPr>
      <w:r w:rsidRPr="001D0E6F">
        <w:rPr>
          <w:rFonts w:ascii="inherit" w:eastAsia="Times New Roman" w:hAnsi="inherit" w:cs="Arial"/>
          <w:b/>
          <w:bCs/>
          <w:color w:val="141414"/>
          <w:bdr w:val="none" w:sz="0" w:space="0" w:color="auto" w:frame="1"/>
          <w:lang w:eastAsia="fr-FR"/>
        </w:rPr>
        <w:t>absorption par les terres : – 3 Gt</w:t>
      </w:r>
    </w:p>
    <w:p w:rsidR="001D0E6F" w:rsidRPr="001D0E6F" w:rsidRDefault="001D0E6F" w:rsidP="001D0E6F">
      <w:pPr>
        <w:numPr>
          <w:ilvl w:val="0"/>
          <w:numId w:val="4"/>
        </w:numPr>
        <w:ind w:left="0"/>
        <w:textAlignment w:val="baseline"/>
        <w:rPr>
          <w:rFonts w:ascii="Arial" w:eastAsia="Times New Roman" w:hAnsi="Arial" w:cs="Arial"/>
          <w:color w:val="141414"/>
          <w:lang w:eastAsia="fr-FR"/>
        </w:rPr>
      </w:pPr>
      <w:r w:rsidRPr="001D0E6F">
        <w:rPr>
          <w:rFonts w:ascii="inherit" w:eastAsia="Times New Roman" w:hAnsi="inherit" w:cs="Arial"/>
          <w:b/>
          <w:bCs/>
          <w:color w:val="141414"/>
          <w:u w:val="single"/>
          <w:bdr w:val="none" w:sz="0" w:space="0" w:color="auto" w:frame="1"/>
          <w:lang w:eastAsia="fr-FR"/>
        </w:rPr>
        <w:t>bilan total pour l’atmosphère : + 4 Gt</w:t>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noProof/>
          <w:color w:val="0073C6"/>
          <w:bdr w:val="none" w:sz="0" w:space="0" w:color="auto" w:frame="1"/>
          <w:lang w:eastAsia="fr-FR"/>
        </w:rPr>
        <w:drawing>
          <wp:inline distT="0" distB="0" distL="0" distR="0">
            <wp:extent cx="5756910" cy="3861435"/>
            <wp:effectExtent l="0" t="0" r="0" b="0"/>
            <wp:docPr id="8" name="Image 8" descr="Budget carbone mondial de CO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dget carbone mondial de CO2">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3861435"/>
                    </a:xfrm>
                    <a:prstGeom prst="rect">
                      <a:avLst/>
                    </a:prstGeom>
                    <a:noFill/>
                    <a:ln>
                      <a:noFill/>
                    </a:ln>
                  </pic:spPr>
                </pic:pic>
              </a:graphicData>
            </a:graphic>
          </wp:inline>
        </w:drawing>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On note la forte augmentation des émissions par hydrocarbures, la stabilité d’absorption du puits océanique et la variabilité du puits terrestre.</w:t>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Si nous prenons plus de recul (avec un autre présentation) :</w:t>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noProof/>
          <w:color w:val="0073C6"/>
          <w:bdr w:val="none" w:sz="0" w:space="0" w:color="auto" w:frame="1"/>
          <w:lang w:eastAsia="fr-FR"/>
        </w:rPr>
        <w:lastRenderedPageBreak/>
        <w:drawing>
          <wp:inline distT="0" distB="0" distL="0" distR="0">
            <wp:extent cx="5756910" cy="4271010"/>
            <wp:effectExtent l="0" t="0" r="0" b="0"/>
            <wp:docPr id="7" name="Image 7" descr="Flux de Carbon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ux de Carbon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4271010"/>
                    </a:xfrm>
                    <a:prstGeom prst="rect">
                      <a:avLst/>
                    </a:prstGeom>
                    <a:noFill/>
                    <a:ln>
                      <a:noFill/>
                    </a:ln>
                  </pic:spPr>
                </pic:pic>
              </a:graphicData>
            </a:graphic>
          </wp:inline>
        </w:drawing>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ou :</w:t>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noProof/>
          <w:color w:val="0073C6"/>
          <w:bdr w:val="none" w:sz="0" w:space="0" w:color="auto" w:frame="1"/>
          <w:lang w:eastAsia="fr-FR"/>
        </w:rPr>
        <w:drawing>
          <wp:inline distT="0" distB="0" distL="0" distR="0">
            <wp:extent cx="5756910" cy="4540250"/>
            <wp:effectExtent l="0" t="0" r="0" b="6350"/>
            <wp:docPr id="6" name="Image 6" descr="Emissions mondiales de CO2 par pay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issions mondiales de CO2 par pay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4540250"/>
                    </a:xfrm>
                    <a:prstGeom prst="rect">
                      <a:avLst/>
                    </a:prstGeom>
                    <a:noFill/>
                    <a:ln>
                      <a:noFill/>
                    </a:ln>
                  </pic:spPr>
                </pic:pic>
              </a:graphicData>
            </a:graphic>
          </wp:inline>
        </w:drawing>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lastRenderedPageBreak/>
        <w:t>(land = puis terrestres ; land-use change = déforestation)</w:t>
      </w:r>
    </w:p>
    <w:p w:rsidR="001D0E6F" w:rsidRPr="001D0E6F" w:rsidRDefault="001D0E6F" w:rsidP="001D0E6F">
      <w:pPr>
        <w:shd w:val="clear" w:color="auto" w:fill="E4F1F9"/>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Soit au total :</w:t>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noProof/>
          <w:color w:val="0073C6"/>
          <w:bdr w:val="none" w:sz="0" w:space="0" w:color="auto" w:frame="1"/>
          <w:lang w:eastAsia="fr-FR"/>
        </w:rPr>
        <w:drawing>
          <wp:inline distT="0" distB="0" distL="0" distR="0">
            <wp:extent cx="5756910" cy="3721100"/>
            <wp:effectExtent l="0" t="0" r="0" b="0"/>
            <wp:docPr id="5" name="Image 5" descr="Flux nets de C0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ux nets de C0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3721100"/>
                    </a:xfrm>
                    <a:prstGeom prst="rect">
                      <a:avLst/>
                    </a:prstGeom>
                    <a:noFill/>
                    <a:ln>
                      <a:noFill/>
                    </a:ln>
                  </pic:spPr>
                </pic:pic>
              </a:graphicData>
            </a:graphic>
          </wp:inline>
        </w:drawing>
      </w:r>
    </w:p>
    <w:p w:rsidR="001D0E6F" w:rsidRPr="001D0E6F" w:rsidRDefault="001D0E6F" w:rsidP="001D0E6F">
      <w:pPr>
        <w:shd w:val="clear" w:color="auto" w:fill="E4F1F9"/>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On constate ainsi que les gros dégâts ont vraiment commencé vers 1950…</w:t>
      </w:r>
    </w:p>
    <w:p w:rsidR="001D0E6F" w:rsidRPr="001D0E6F" w:rsidRDefault="001D0E6F" w:rsidP="001D0E6F">
      <w:pPr>
        <w:spacing w:before="300" w:after="300"/>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Le bilan carbone global actuel est donc celui-ci :</w:t>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noProof/>
          <w:color w:val="0073C6"/>
          <w:bdr w:val="none" w:sz="0" w:space="0" w:color="auto" w:frame="1"/>
          <w:lang w:eastAsia="fr-FR"/>
        </w:rPr>
        <w:drawing>
          <wp:inline distT="0" distB="0" distL="0" distR="0">
            <wp:extent cx="5756910" cy="3721100"/>
            <wp:effectExtent l="0" t="0" r="0" b="0"/>
            <wp:docPr id="4" name="Image 4" descr="Bilan carbone globa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an carbone global">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3721100"/>
                    </a:xfrm>
                    <a:prstGeom prst="rect">
                      <a:avLst/>
                    </a:prstGeom>
                    <a:noFill/>
                    <a:ln>
                      <a:noFill/>
                    </a:ln>
                  </pic:spPr>
                </pic:pic>
              </a:graphicData>
            </a:graphic>
          </wp:inline>
        </w:drawing>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noProof/>
          <w:color w:val="0073C6"/>
          <w:bdr w:val="none" w:sz="0" w:space="0" w:color="auto" w:frame="1"/>
          <w:lang w:eastAsia="fr-FR"/>
        </w:rPr>
        <w:lastRenderedPageBreak/>
        <w:drawing>
          <wp:inline distT="0" distB="0" distL="0" distR="0">
            <wp:extent cx="5756910" cy="5429250"/>
            <wp:effectExtent l="0" t="0" r="0" b="6350"/>
            <wp:docPr id="3" name="Image 3" descr="Bilan carbone globa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an carbone global">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5429250"/>
                    </a:xfrm>
                    <a:prstGeom prst="rect">
                      <a:avLst/>
                    </a:prstGeom>
                    <a:noFill/>
                    <a:ln>
                      <a:noFill/>
                    </a:ln>
                  </pic:spPr>
                </pic:pic>
              </a:graphicData>
            </a:graphic>
          </wp:inline>
        </w:drawing>
      </w:r>
    </w:p>
    <w:p w:rsidR="001D0E6F" w:rsidRPr="001D0E6F" w:rsidRDefault="001D0E6F" w:rsidP="001D0E6F">
      <w:pPr>
        <w:spacing w:before="330" w:after="330"/>
        <w:textAlignment w:val="baseline"/>
        <w:outlineLvl w:val="1"/>
        <w:rPr>
          <w:rFonts w:ascii="georgia" w:eastAsia="Times New Roman" w:hAnsi="georgia" w:cs="Times New Roman"/>
          <w:color w:val="141414"/>
          <w:sz w:val="36"/>
          <w:szCs w:val="36"/>
          <w:lang w:eastAsia="fr-FR"/>
        </w:rPr>
      </w:pPr>
      <w:r w:rsidRPr="001D0E6F">
        <w:rPr>
          <w:rFonts w:ascii="georgia" w:eastAsia="Times New Roman" w:hAnsi="georgia" w:cs="Times New Roman"/>
          <w:color w:val="141414"/>
          <w:sz w:val="36"/>
          <w:szCs w:val="36"/>
          <w:lang w:eastAsia="fr-FR"/>
        </w:rPr>
        <w:t>Bilan spatial</w:t>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color w:val="141414"/>
          <w:lang w:eastAsia="fr-FR"/>
        </w:rPr>
        <w:t>Maintenant que nous avons compris le mécanisme “émission/absorption”, nous pouvons représenter une carte des soldes totaux, correspondant au volume net des émissions qui resteront dans l’atmosphère, pour le CO</w:t>
      </w:r>
      <w:r w:rsidRPr="001D0E6F">
        <w:rPr>
          <w:rFonts w:ascii="inherit" w:eastAsia="Times New Roman" w:hAnsi="inherit" w:cs="Arial"/>
          <w:color w:val="141414"/>
          <w:sz w:val="18"/>
          <w:szCs w:val="18"/>
          <w:bdr w:val="none" w:sz="0" w:space="0" w:color="auto" w:frame="1"/>
          <w:vertAlign w:val="subscript"/>
          <w:lang w:eastAsia="fr-FR"/>
        </w:rPr>
        <w:t>2</w:t>
      </w:r>
      <w:r w:rsidRPr="001D0E6F">
        <w:rPr>
          <w:rFonts w:ascii="Arial" w:eastAsia="Times New Roman" w:hAnsi="Arial" w:cs="Arial"/>
          <w:color w:val="141414"/>
          <w:lang w:eastAsia="fr-FR"/>
        </w:rPr>
        <w:t> et le méthane CH</w:t>
      </w:r>
      <w:r w:rsidRPr="001D0E6F">
        <w:rPr>
          <w:rFonts w:ascii="inherit" w:eastAsia="Times New Roman" w:hAnsi="inherit" w:cs="Arial"/>
          <w:color w:val="141414"/>
          <w:sz w:val="18"/>
          <w:szCs w:val="18"/>
          <w:bdr w:val="none" w:sz="0" w:space="0" w:color="auto" w:frame="1"/>
          <w:vertAlign w:val="subscript"/>
          <w:lang w:eastAsia="fr-FR"/>
        </w:rPr>
        <w:t>4</w:t>
      </w:r>
      <w:r w:rsidRPr="001D0E6F">
        <w:rPr>
          <w:rFonts w:ascii="Arial" w:eastAsia="Times New Roman" w:hAnsi="Arial" w:cs="Arial"/>
          <w:color w:val="141414"/>
          <w:lang w:eastAsia="fr-FR"/>
        </w:rPr>
        <w:t> :</w:t>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noProof/>
          <w:color w:val="0073C6"/>
          <w:bdr w:val="none" w:sz="0" w:space="0" w:color="auto" w:frame="1"/>
          <w:lang w:eastAsia="fr-FR"/>
        </w:rPr>
        <w:lastRenderedPageBreak/>
        <w:drawing>
          <wp:inline distT="0" distB="0" distL="0" distR="0">
            <wp:extent cx="5756910" cy="4200525"/>
            <wp:effectExtent l="0" t="0" r="0" b="3175"/>
            <wp:docPr id="2" name="Image 2" descr="Flux nets de C0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ux nets de C02">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4200525"/>
                    </a:xfrm>
                    <a:prstGeom prst="rect">
                      <a:avLst/>
                    </a:prstGeom>
                    <a:noFill/>
                    <a:ln>
                      <a:noFill/>
                    </a:ln>
                  </pic:spPr>
                </pic:pic>
              </a:graphicData>
            </a:graphic>
          </wp:inline>
        </w:drawing>
      </w:r>
    </w:p>
    <w:p w:rsidR="001D0E6F" w:rsidRPr="001D0E6F" w:rsidRDefault="001D0E6F" w:rsidP="001D0E6F">
      <w:pPr>
        <w:textAlignment w:val="baseline"/>
        <w:rPr>
          <w:rFonts w:ascii="Arial" w:eastAsia="Times New Roman" w:hAnsi="Arial" w:cs="Arial"/>
          <w:color w:val="141414"/>
          <w:lang w:eastAsia="fr-FR"/>
        </w:rPr>
      </w:pPr>
      <w:r w:rsidRPr="001D0E6F">
        <w:rPr>
          <w:rFonts w:ascii="Arial" w:eastAsia="Times New Roman" w:hAnsi="Arial" w:cs="Arial"/>
          <w:noProof/>
          <w:color w:val="0073C6"/>
          <w:bdr w:val="none" w:sz="0" w:space="0" w:color="auto" w:frame="1"/>
          <w:lang w:eastAsia="fr-FR"/>
        </w:rPr>
        <w:drawing>
          <wp:inline distT="0" distB="0" distL="0" distR="0">
            <wp:extent cx="5756910" cy="4200525"/>
            <wp:effectExtent l="0" t="0" r="0" b="3175"/>
            <wp:docPr id="1" name="Image 1" descr="Flux nets de méthane CH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ux nets de méthane CH4">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4200525"/>
                    </a:xfrm>
                    <a:prstGeom prst="rect">
                      <a:avLst/>
                    </a:prstGeom>
                    <a:noFill/>
                    <a:ln>
                      <a:noFill/>
                    </a:ln>
                  </pic:spPr>
                </pic:pic>
              </a:graphicData>
            </a:graphic>
          </wp:inline>
        </w:drawing>
      </w:r>
    </w:p>
    <w:p w:rsidR="00B76F2D" w:rsidRDefault="00B76F2D" w:rsidP="001D0E6F">
      <w:pPr>
        <w:ind w:left="142"/>
      </w:pPr>
    </w:p>
    <w:sectPr w:rsidR="00B76F2D" w:rsidSect="001D0E6F">
      <w:footerReference w:type="even" r:id="rId34"/>
      <w:footerReference w:type="default" r:id="rId3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6444" w:rsidRDefault="00DC6444" w:rsidP="001D0E6F">
      <w:r>
        <w:separator/>
      </w:r>
    </w:p>
  </w:endnote>
  <w:endnote w:type="continuationSeparator" w:id="0">
    <w:p w:rsidR="00DC6444" w:rsidRDefault="00DC6444" w:rsidP="001D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460697121"/>
      <w:docPartObj>
        <w:docPartGallery w:val="Page Numbers (Bottom of Page)"/>
        <w:docPartUnique/>
      </w:docPartObj>
    </w:sdtPr>
    <w:sdtContent>
      <w:p w:rsidR="001D0E6F" w:rsidRDefault="001D0E6F" w:rsidP="008F05B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1D0E6F" w:rsidRDefault="001D0E6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674174014"/>
      <w:docPartObj>
        <w:docPartGallery w:val="Page Numbers (Bottom of Page)"/>
        <w:docPartUnique/>
      </w:docPartObj>
    </w:sdtPr>
    <w:sdtContent>
      <w:p w:rsidR="001D0E6F" w:rsidRDefault="001D0E6F" w:rsidP="008F05B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1D0E6F" w:rsidRDefault="001D0E6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6444" w:rsidRDefault="00DC6444" w:rsidP="001D0E6F">
      <w:r>
        <w:separator/>
      </w:r>
    </w:p>
  </w:footnote>
  <w:footnote w:type="continuationSeparator" w:id="0">
    <w:p w:rsidR="00DC6444" w:rsidRDefault="00DC6444" w:rsidP="001D0E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342F0"/>
    <w:multiLevelType w:val="multilevel"/>
    <w:tmpl w:val="63FE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EC338A"/>
    <w:multiLevelType w:val="multilevel"/>
    <w:tmpl w:val="03EC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A0280B"/>
    <w:multiLevelType w:val="multilevel"/>
    <w:tmpl w:val="CC88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DB1F77"/>
    <w:multiLevelType w:val="multilevel"/>
    <w:tmpl w:val="85B0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E6F"/>
    <w:rsid w:val="001D0E6F"/>
    <w:rsid w:val="008F67CB"/>
    <w:rsid w:val="00B459C3"/>
    <w:rsid w:val="00B76F2D"/>
    <w:rsid w:val="00D12AE8"/>
    <w:rsid w:val="00DC6444"/>
    <w:rsid w:val="00EF3D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F9891BB"/>
  <w14:defaultImageDpi w14:val="32767"/>
  <w15:chartTrackingRefBased/>
  <w15:docId w15:val="{27E6FFE2-7353-F049-8B4A-3F15F1F0E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1D0E6F"/>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5">
    <w:name w:val="heading 5"/>
    <w:basedOn w:val="Normal"/>
    <w:link w:val="Titre5Car"/>
    <w:uiPriority w:val="9"/>
    <w:qFormat/>
    <w:rsid w:val="001D0E6F"/>
    <w:pPr>
      <w:spacing w:before="100" w:beforeAutospacing="1" w:after="100" w:afterAutospacing="1"/>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D0E6F"/>
    <w:rPr>
      <w:rFonts w:ascii="Times New Roman" w:eastAsia="Times New Roman" w:hAnsi="Times New Roman" w:cs="Times New Roman"/>
      <w:b/>
      <w:bCs/>
      <w:sz w:val="36"/>
      <w:szCs w:val="36"/>
      <w:lang w:eastAsia="fr-FR"/>
    </w:rPr>
  </w:style>
  <w:style w:type="character" w:customStyle="1" w:styleId="Titre5Car">
    <w:name w:val="Titre 5 Car"/>
    <w:basedOn w:val="Policepardfaut"/>
    <w:link w:val="Titre5"/>
    <w:uiPriority w:val="9"/>
    <w:rsid w:val="001D0E6F"/>
    <w:rPr>
      <w:rFonts w:ascii="Times New Roman" w:eastAsia="Times New Roman" w:hAnsi="Times New Roman" w:cs="Times New Roman"/>
      <w:b/>
      <w:bCs/>
      <w:sz w:val="20"/>
      <w:szCs w:val="20"/>
      <w:lang w:eastAsia="fr-FR"/>
    </w:rPr>
  </w:style>
  <w:style w:type="paragraph" w:styleId="NormalWeb">
    <w:name w:val="Normal (Web)"/>
    <w:basedOn w:val="Normal"/>
    <w:uiPriority w:val="99"/>
    <w:semiHidden/>
    <w:unhideWhenUsed/>
    <w:rsid w:val="001D0E6F"/>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1D0E6F"/>
    <w:rPr>
      <w:i/>
      <w:iCs/>
    </w:rPr>
  </w:style>
  <w:style w:type="character" w:styleId="lev">
    <w:name w:val="Strong"/>
    <w:basedOn w:val="Policepardfaut"/>
    <w:uiPriority w:val="22"/>
    <w:qFormat/>
    <w:rsid w:val="001D0E6F"/>
    <w:rPr>
      <w:b/>
      <w:bCs/>
    </w:rPr>
  </w:style>
  <w:style w:type="paragraph" w:styleId="En-tte">
    <w:name w:val="header"/>
    <w:basedOn w:val="Normal"/>
    <w:link w:val="En-tteCar"/>
    <w:uiPriority w:val="99"/>
    <w:unhideWhenUsed/>
    <w:rsid w:val="001D0E6F"/>
    <w:pPr>
      <w:tabs>
        <w:tab w:val="center" w:pos="4536"/>
        <w:tab w:val="right" w:pos="9072"/>
      </w:tabs>
    </w:pPr>
  </w:style>
  <w:style w:type="character" w:customStyle="1" w:styleId="En-tteCar">
    <w:name w:val="En-tête Car"/>
    <w:basedOn w:val="Policepardfaut"/>
    <w:link w:val="En-tte"/>
    <w:uiPriority w:val="99"/>
    <w:rsid w:val="001D0E6F"/>
  </w:style>
  <w:style w:type="paragraph" w:styleId="Pieddepage">
    <w:name w:val="footer"/>
    <w:basedOn w:val="Normal"/>
    <w:link w:val="PieddepageCar"/>
    <w:uiPriority w:val="99"/>
    <w:unhideWhenUsed/>
    <w:rsid w:val="001D0E6F"/>
    <w:pPr>
      <w:tabs>
        <w:tab w:val="center" w:pos="4536"/>
        <w:tab w:val="right" w:pos="9072"/>
      </w:tabs>
    </w:pPr>
  </w:style>
  <w:style w:type="character" w:customStyle="1" w:styleId="PieddepageCar">
    <w:name w:val="Pied de page Car"/>
    <w:basedOn w:val="Policepardfaut"/>
    <w:link w:val="Pieddepage"/>
    <w:uiPriority w:val="99"/>
    <w:rsid w:val="001D0E6F"/>
  </w:style>
  <w:style w:type="character" w:styleId="Numrodepage">
    <w:name w:val="page number"/>
    <w:basedOn w:val="Policepardfaut"/>
    <w:uiPriority w:val="99"/>
    <w:semiHidden/>
    <w:unhideWhenUsed/>
    <w:rsid w:val="001D0E6F"/>
  </w:style>
  <w:style w:type="character" w:styleId="Lienhypertexte">
    <w:name w:val="Hyperlink"/>
    <w:basedOn w:val="Policepardfaut"/>
    <w:uiPriority w:val="99"/>
    <w:unhideWhenUsed/>
    <w:rsid w:val="001D0E6F"/>
    <w:rPr>
      <w:color w:val="0563C1" w:themeColor="hyperlink"/>
      <w:u w:val="single"/>
    </w:rPr>
  </w:style>
  <w:style w:type="character" w:styleId="Mentionnonrsolue">
    <w:name w:val="Unresolved Mention"/>
    <w:basedOn w:val="Policepardfaut"/>
    <w:uiPriority w:val="99"/>
    <w:rsid w:val="001D0E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10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s://www.les-crises.fr/images/1300-climat/1330-cycle-carbone/01-budget-carbone.jpg" TargetMode="External"/><Relationship Id="rId26" Type="http://schemas.openxmlformats.org/officeDocument/2006/relationships/hyperlink" Target="https://www.les-crises.fr/images/1300-climat/1330-cycle-carbone/13-global-carbon-budget-2.jpg" TargetMode="Externa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hyperlink" Target="https://www.les-crises.fr/climat-4-cycle-carbone/?fbclid=IwAR2tMhlyUjMyaKkJkRHzrhH053o2Gr9XfvKcooT_lnie_1qDBbUO9D26nTA" TargetMode="External"/><Relationship Id="rId12" Type="http://schemas.openxmlformats.org/officeDocument/2006/relationships/hyperlink" Target="https://www.les-crises.fr/images/1300-climat/1330-cycle-carbone/flux-carbone.gif"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hyperlink" Target="https://www.les-crises.fr/wp-content/uploads/2013/02/cycle-co2-annee-1990.jpg" TargetMode="External"/><Relationship Id="rId20" Type="http://schemas.openxmlformats.org/officeDocument/2006/relationships/hyperlink" Target="https://www.les-crises.fr/images/1300-climat/1330-cycle-carbone/flux-carbone-2.png"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les-crises.fr/images/1300-climat/1330-cycle-carbone/flux-nets-c02-atmosphere.jpg" TargetMode="External"/><Relationship Id="rId32" Type="http://schemas.openxmlformats.org/officeDocument/2006/relationships/hyperlink" Target="https://www.les-crises.fr/images/1300-climat/1330-cycle-carbone/flux-nets-ch4.gif"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image" Target="media/image8.jpeg"/><Relationship Id="rId28" Type="http://schemas.openxmlformats.org/officeDocument/2006/relationships/hyperlink" Target="https://www.les-crises.fr/images/1300-climat/1330-cycle-carbone/14-global-carbon-budget-3.jpg" TargetMode="External"/><Relationship Id="rId36" Type="http://schemas.openxmlformats.org/officeDocument/2006/relationships/fontTable" Target="fontTable.xml"/><Relationship Id="rId10" Type="http://schemas.openxmlformats.org/officeDocument/2006/relationships/hyperlink" Target="https://www.les-crises.fr/images/1300-climat/1330-cycle-carbone/cycle-carbone.jpg" TargetMode="External"/><Relationship Id="rId19" Type="http://schemas.openxmlformats.org/officeDocument/2006/relationships/image" Target="media/image6.jpeg"/><Relationship Id="rId31" Type="http://schemas.openxmlformats.org/officeDocument/2006/relationships/image" Target="media/image12.gi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les-crises.fr/wp-content/uploads/2013/02/ImageCause4.gif" TargetMode="External"/><Relationship Id="rId22" Type="http://schemas.openxmlformats.org/officeDocument/2006/relationships/hyperlink" Target="https://www.les-crises.fr/images/1300-climat/1330-cycle-carbone/12-global-carbon-budget.jpg" TargetMode="External"/><Relationship Id="rId27" Type="http://schemas.openxmlformats.org/officeDocument/2006/relationships/image" Target="media/image10.jpeg"/><Relationship Id="rId30" Type="http://schemas.openxmlformats.org/officeDocument/2006/relationships/hyperlink" Target="https://www.les-crises.fr/images/1300-climat/1330-cycle-carbone/flux-nets-co2.gif" TargetMode="External"/><Relationship Id="rId35" Type="http://schemas.openxmlformats.org/officeDocument/2006/relationships/footer" Target="footer2.xml"/><Relationship Id="rId8" Type="http://schemas.openxmlformats.org/officeDocument/2006/relationships/hyperlink" Target="https://www.les-crises.fr/images/1300-climat/1330-cycle-carbone/flux-carbone.jpg" TargetMode="Externa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1213</Words>
  <Characters>6676</Characters>
  <Application>Microsoft Office Word</Application>
  <DocSecurity>0</DocSecurity>
  <Lines>55</Lines>
  <Paragraphs>15</Paragraphs>
  <ScaleCrop>false</ScaleCrop>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Guérin Denis</dc:creator>
  <cp:keywords/>
  <dc:description/>
  <cp:lastModifiedBy>Guérin Denis</cp:lastModifiedBy>
  <cp:revision>1</cp:revision>
  <dcterms:created xsi:type="dcterms:W3CDTF">2020-01-09T07:34:00Z</dcterms:created>
  <dcterms:modified xsi:type="dcterms:W3CDTF">2020-01-09T17:52:00Z</dcterms:modified>
</cp:coreProperties>
</file>