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B5" w:rsidRDefault="006C71B5" w:rsidP="006C71B5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59375" wp14:editId="2FE6EF08">
                <wp:simplePos x="0" y="0"/>
                <wp:positionH relativeFrom="margin">
                  <wp:align>center</wp:align>
                </wp:positionH>
                <wp:positionV relativeFrom="paragraph">
                  <wp:posOffset>338455</wp:posOffset>
                </wp:positionV>
                <wp:extent cx="1609725" cy="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B5978" id="Connecteur droit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65pt" to="126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HAnsi" w:hAnsiTheme="majorHAnsi"/>
          <w:b/>
          <w:sz w:val="40"/>
          <w:szCs w:val="40"/>
        </w:rPr>
        <w:t>Fiche révision</w:t>
      </w:r>
    </w:p>
    <w:p w:rsidR="006C71B5" w:rsidRDefault="007208B8" w:rsidP="006C71B5">
      <w:pPr>
        <w:spacing w:after="0"/>
        <w:jc w:val="center"/>
        <w:rPr>
          <w:rFonts w:asciiTheme="majorHAnsi" w:hAnsiTheme="majorHAnsi"/>
          <w:i/>
          <w:color w:val="7F7F7F" w:themeColor="text1" w:themeTint="80"/>
          <w:sz w:val="36"/>
          <w:szCs w:val="36"/>
        </w:rPr>
      </w:pPr>
      <w:r>
        <w:rPr>
          <w:rFonts w:asciiTheme="majorHAnsi" w:hAnsiTheme="majorHAnsi"/>
          <w:i/>
          <w:color w:val="7F7F7F" w:themeColor="text1" w:themeTint="80"/>
          <w:sz w:val="36"/>
          <w:szCs w:val="36"/>
        </w:rPr>
        <w:t>Les Femmes savantes</w:t>
      </w:r>
    </w:p>
    <w:p w:rsidR="00CD2112" w:rsidRDefault="009B31CB"/>
    <w:p w:rsidR="006C71B5" w:rsidRPr="006C71B5" w:rsidRDefault="006C71B5" w:rsidP="006C71B5">
      <w:pPr>
        <w:spacing w:after="0"/>
        <w:rPr>
          <w:sz w:val="36"/>
          <w:szCs w:val="36"/>
        </w:rPr>
      </w:pPr>
      <w:r w:rsidRPr="00D872D9">
        <w:rPr>
          <w:sz w:val="36"/>
          <w:szCs w:val="36"/>
        </w:rPr>
        <w:t>|Introduction</w:t>
      </w:r>
    </w:p>
    <w:p w:rsidR="006C71B5" w:rsidRDefault="006C71B5" w:rsidP="006C71B5">
      <w:pPr>
        <w:pStyle w:val="NormalWeb"/>
        <w:spacing w:before="0" w:beforeAutospacing="0" w:after="0"/>
        <w:jc w:val="both"/>
        <w:rPr>
          <w:rFonts w:asciiTheme="minorHAnsi" w:hAnsiTheme="minorHAnsi"/>
        </w:rPr>
      </w:pPr>
    </w:p>
    <w:p w:rsidR="006C71B5" w:rsidRPr="006C71B5" w:rsidRDefault="006C71B5" w:rsidP="006C71B5">
      <w:pPr>
        <w:pStyle w:val="NormalWeb"/>
        <w:spacing w:before="0" w:beforeAutospacing="0" w:after="0"/>
        <w:jc w:val="both"/>
        <w:rPr>
          <w:rFonts w:asciiTheme="minorHAnsi" w:hAnsiTheme="minorHAnsi"/>
        </w:rPr>
      </w:pPr>
      <w:r w:rsidRPr="006C71B5">
        <w:rPr>
          <w:rFonts w:asciiTheme="minorHAnsi" w:hAnsiTheme="minorHAnsi"/>
        </w:rPr>
        <w:t>Nous allons analyser un extrait de l'ouvrage « Les Femmes Savantes » écrit par Molière, grand dramaturge et comédien du XVIIème siècle. Connu pour « Le Bourgeois Gentilhomme », « Le malade imaginaire », « Le Tartuffe ou l'Imposteur » et « L'avare », il a écrit cet ouvrage, appartenant au classicisme. La pièce raconte l'histoire d'une famille, où la mère (</w:t>
      </w:r>
      <w:proofErr w:type="spellStart"/>
      <w:r w:rsidRPr="006C71B5">
        <w:rPr>
          <w:rFonts w:asciiTheme="minorHAnsi" w:hAnsiTheme="minorHAnsi"/>
        </w:rPr>
        <w:t>Philaminte</w:t>
      </w:r>
      <w:proofErr w:type="spellEnd"/>
      <w:r w:rsidRPr="006C71B5">
        <w:rPr>
          <w:rFonts w:asciiTheme="minorHAnsi" w:hAnsiTheme="minorHAnsi"/>
        </w:rPr>
        <w:t>), la belle-sœur de cette dernière (</w:t>
      </w:r>
      <w:proofErr w:type="spellStart"/>
      <w:r w:rsidRPr="006C71B5">
        <w:rPr>
          <w:rFonts w:asciiTheme="minorHAnsi" w:hAnsiTheme="minorHAnsi"/>
        </w:rPr>
        <w:t>Bélise</w:t>
      </w:r>
      <w:proofErr w:type="spellEnd"/>
      <w:r w:rsidRPr="006C71B5">
        <w:rPr>
          <w:rFonts w:asciiTheme="minorHAnsi" w:hAnsiTheme="minorHAnsi"/>
        </w:rPr>
        <w:t xml:space="preserve">) et une de ses deux filles (Armande) sont sous l'emprise d'un faux savant (Trissotin), qui les subjugue de ses poèmes et savoirs pédants mais s'intéresse plus à l'argent de la famille qu'à l'érudition des trois femmes. Cette situation désole le reste de la famille, à savoir le mari de </w:t>
      </w:r>
      <w:proofErr w:type="spellStart"/>
      <w:r w:rsidRPr="006C71B5">
        <w:rPr>
          <w:rFonts w:asciiTheme="minorHAnsi" w:hAnsiTheme="minorHAnsi"/>
        </w:rPr>
        <w:t>Philaminte</w:t>
      </w:r>
      <w:proofErr w:type="spellEnd"/>
      <w:r w:rsidRPr="006C71B5">
        <w:rPr>
          <w:rFonts w:asciiTheme="minorHAnsi" w:hAnsiTheme="minorHAnsi"/>
        </w:rPr>
        <w:t xml:space="preserve"> (</w:t>
      </w:r>
      <w:proofErr w:type="spellStart"/>
      <w:r w:rsidRPr="006C71B5">
        <w:rPr>
          <w:rFonts w:asciiTheme="minorHAnsi" w:hAnsiTheme="minorHAnsi"/>
        </w:rPr>
        <w:t>Chrysale</w:t>
      </w:r>
      <w:proofErr w:type="spellEnd"/>
      <w:r w:rsidRPr="006C71B5">
        <w:rPr>
          <w:rFonts w:asciiTheme="minorHAnsi" w:hAnsiTheme="minorHAnsi"/>
        </w:rPr>
        <w:t>), le frère de ce dernier (</w:t>
      </w:r>
      <w:proofErr w:type="spellStart"/>
      <w:r w:rsidRPr="006C71B5">
        <w:rPr>
          <w:rFonts w:asciiTheme="minorHAnsi" w:hAnsiTheme="minorHAnsi"/>
        </w:rPr>
        <w:t>Ariste</w:t>
      </w:r>
      <w:proofErr w:type="spellEnd"/>
      <w:r w:rsidRPr="006C71B5">
        <w:rPr>
          <w:rFonts w:asciiTheme="minorHAnsi" w:hAnsiTheme="minorHAnsi"/>
        </w:rPr>
        <w:t>) et la cadette des filles (Henriette) ; mais ces derniers ne s'opposent pas frontalement aux « chimères » des autres femmes de la famille.</w:t>
      </w:r>
    </w:p>
    <w:p w:rsidR="006C71B5" w:rsidRPr="006C71B5" w:rsidRDefault="006C71B5" w:rsidP="006C71B5">
      <w:pPr>
        <w:pStyle w:val="NormalWeb"/>
        <w:spacing w:before="0" w:beforeAutospacing="0" w:after="0"/>
        <w:jc w:val="both"/>
        <w:rPr>
          <w:rFonts w:asciiTheme="minorHAnsi" w:hAnsiTheme="minorHAnsi"/>
        </w:rPr>
      </w:pPr>
      <w:r w:rsidRPr="006C71B5">
        <w:rPr>
          <w:rFonts w:asciiTheme="minorHAnsi" w:hAnsiTheme="minorHAnsi"/>
        </w:rPr>
        <w:t xml:space="preserve">Pendant longtemps, </w:t>
      </w:r>
      <w:proofErr w:type="spellStart"/>
      <w:r w:rsidRPr="006C71B5">
        <w:rPr>
          <w:rFonts w:asciiTheme="minorHAnsi" w:hAnsiTheme="minorHAnsi"/>
        </w:rPr>
        <w:t>Clitandre</w:t>
      </w:r>
      <w:proofErr w:type="spellEnd"/>
      <w:r w:rsidRPr="006C71B5">
        <w:rPr>
          <w:rFonts w:asciiTheme="minorHAnsi" w:hAnsiTheme="minorHAnsi"/>
        </w:rPr>
        <w:t xml:space="preserve"> a courtisé Armande, sœur d'Henriette, mais cette dernière s'est toujours refusée à lui, lui préférant « les beaux feux de la philosophie ». </w:t>
      </w:r>
      <w:proofErr w:type="spellStart"/>
      <w:r w:rsidRPr="006C71B5">
        <w:rPr>
          <w:rFonts w:asciiTheme="minorHAnsi" w:hAnsiTheme="minorHAnsi"/>
        </w:rPr>
        <w:t>Clitandre</w:t>
      </w:r>
      <w:proofErr w:type="spellEnd"/>
      <w:r w:rsidRPr="006C71B5">
        <w:rPr>
          <w:rFonts w:asciiTheme="minorHAnsi" w:hAnsiTheme="minorHAnsi"/>
        </w:rPr>
        <w:t xml:space="preserve"> est alors devenu amoureux de Henriette, et tous deux veulent se marier.</w:t>
      </w:r>
    </w:p>
    <w:p w:rsidR="006C71B5" w:rsidRPr="006C71B5" w:rsidRDefault="006C71B5" w:rsidP="006C71B5">
      <w:pPr>
        <w:pStyle w:val="NormalWeb"/>
        <w:spacing w:before="0" w:beforeAutospacing="0" w:after="0"/>
        <w:jc w:val="both"/>
        <w:rPr>
          <w:rFonts w:asciiTheme="minorHAnsi" w:hAnsiTheme="minorHAnsi"/>
        </w:rPr>
      </w:pPr>
      <w:r w:rsidRPr="006C71B5">
        <w:rPr>
          <w:rFonts w:asciiTheme="minorHAnsi" w:hAnsiTheme="minorHAnsi"/>
        </w:rPr>
        <w:t xml:space="preserve">Dans ce but, ils vont devoir obtenir le soutien de la famille. </w:t>
      </w:r>
      <w:proofErr w:type="spellStart"/>
      <w:r w:rsidRPr="006C71B5">
        <w:rPr>
          <w:rFonts w:asciiTheme="minorHAnsi" w:hAnsiTheme="minorHAnsi"/>
        </w:rPr>
        <w:t>Chrysale</w:t>
      </w:r>
      <w:proofErr w:type="spellEnd"/>
      <w:r w:rsidRPr="006C71B5">
        <w:rPr>
          <w:rFonts w:asciiTheme="minorHAnsi" w:hAnsiTheme="minorHAnsi"/>
        </w:rPr>
        <w:t xml:space="preserve"> et </w:t>
      </w:r>
      <w:proofErr w:type="spellStart"/>
      <w:r w:rsidRPr="006C71B5">
        <w:rPr>
          <w:rFonts w:asciiTheme="minorHAnsi" w:hAnsiTheme="minorHAnsi"/>
        </w:rPr>
        <w:t>Ariste</w:t>
      </w:r>
      <w:proofErr w:type="spellEnd"/>
      <w:r w:rsidRPr="006C71B5">
        <w:rPr>
          <w:rFonts w:asciiTheme="minorHAnsi" w:hAnsiTheme="minorHAnsi"/>
        </w:rPr>
        <w:t xml:space="preserve"> sont favorables au mariage. Mais le reste de la famille, c'est-à-dire les trois « femmes savantes », s'y opposent. </w:t>
      </w:r>
      <w:proofErr w:type="spellStart"/>
      <w:r w:rsidRPr="006C71B5">
        <w:rPr>
          <w:rFonts w:asciiTheme="minorHAnsi" w:hAnsiTheme="minorHAnsi"/>
        </w:rPr>
        <w:t>Philaminte</w:t>
      </w:r>
      <w:proofErr w:type="spellEnd"/>
      <w:r w:rsidRPr="006C71B5">
        <w:rPr>
          <w:rFonts w:asciiTheme="minorHAnsi" w:hAnsiTheme="minorHAnsi"/>
        </w:rPr>
        <w:t xml:space="preserve"> veut qu'Henriette épouse Trissotin, pour asseoir son alliance avec la science et la philosophie. Cette volonté est appuyée par </w:t>
      </w:r>
      <w:proofErr w:type="spellStart"/>
      <w:r w:rsidRPr="006C71B5">
        <w:rPr>
          <w:rFonts w:asciiTheme="minorHAnsi" w:hAnsiTheme="minorHAnsi"/>
        </w:rPr>
        <w:t>Bélise</w:t>
      </w:r>
      <w:proofErr w:type="spellEnd"/>
      <w:r w:rsidRPr="006C71B5">
        <w:rPr>
          <w:rFonts w:asciiTheme="minorHAnsi" w:hAnsiTheme="minorHAnsi"/>
        </w:rPr>
        <w:t xml:space="preserve"> et Armande. Cette dernière exprime une certaine jalousie que sa sœur convole avec son ancien soupirant.</w:t>
      </w:r>
    </w:p>
    <w:p w:rsidR="006C71B5" w:rsidRPr="006C71B5" w:rsidRDefault="006C71B5" w:rsidP="006C71B5">
      <w:pPr>
        <w:pStyle w:val="NormalWeb"/>
        <w:spacing w:before="0" w:beforeAutospacing="0" w:after="0"/>
        <w:jc w:val="both"/>
        <w:rPr>
          <w:rFonts w:asciiTheme="minorHAnsi" w:hAnsiTheme="minorHAnsi"/>
        </w:rPr>
      </w:pPr>
      <w:proofErr w:type="spellStart"/>
      <w:r w:rsidRPr="006C71B5">
        <w:rPr>
          <w:rFonts w:asciiTheme="minorHAnsi" w:hAnsiTheme="minorHAnsi"/>
        </w:rPr>
        <w:t>Chrysale</w:t>
      </w:r>
      <w:proofErr w:type="spellEnd"/>
      <w:r w:rsidRPr="006C71B5">
        <w:rPr>
          <w:rFonts w:asciiTheme="minorHAnsi" w:hAnsiTheme="minorHAnsi"/>
        </w:rPr>
        <w:t xml:space="preserve"> ne veut pas s'opposer fermement aux volontés de son épouse, et il semble que le mariage d'Henriette et </w:t>
      </w:r>
      <w:proofErr w:type="spellStart"/>
      <w:r w:rsidRPr="006C71B5">
        <w:rPr>
          <w:rFonts w:asciiTheme="minorHAnsi" w:hAnsiTheme="minorHAnsi"/>
        </w:rPr>
        <w:t>Clitandre</w:t>
      </w:r>
      <w:proofErr w:type="spellEnd"/>
      <w:r w:rsidRPr="006C71B5">
        <w:rPr>
          <w:rFonts w:asciiTheme="minorHAnsi" w:hAnsiTheme="minorHAnsi"/>
        </w:rPr>
        <w:t xml:space="preserve"> soit compromis, à l'avantage de Trissotin. Les deux amants tentent alors de s'opposer au philosophe mais aucun ne réussit, jusqu'à ce qu'</w:t>
      </w:r>
      <w:proofErr w:type="spellStart"/>
      <w:r w:rsidRPr="006C71B5">
        <w:rPr>
          <w:rFonts w:asciiTheme="minorHAnsi" w:hAnsiTheme="minorHAnsi"/>
        </w:rPr>
        <w:t>Ariste</w:t>
      </w:r>
      <w:proofErr w:type="spellEnd"/>
      <w:r w:rsidRPr="006C71B5">
        <w:rPr>
          <w:rFonts w:asciiTheme="minorHAnsi" w:hAnsiTheme="minorHAnsi"/>
        </w:rPr>
        <w:t xml:space="preserve"> parvienne à déjouer la duplicité de Trissotin ; Henriette peut alors se marier avec </w:t>
      </w:r>
      <w:proofErr w:type="spellStart"/>
      <w:r w:rsidRPr="006C71B5">
        <w:rPr>
          <w:rFonts w:asciiTheme="minorHAnsi" w:hAnsiTheme="minorHAnsi"/>
        </w:rPr>
        <w:t>Clitandre</w:t>
      </w:r>
      <w:proofErr w:type="spellEnd"/>
      <w:r w:rsidRPr="006C71B5">
        <w:rPr>
          <w:rFonts w:asciiTheme="minorHAnsi" w:hAnsiTheme="minorHAnsi"/>
        </w:rPr>
        <w:t xml:space="preserve">. L'extrait se passe au cours d'une discussion, </w:t>
      </w:r>
      <w:proofErr w:type="spellStart"/>
      <w:r w:rsidRPr="006C71B5">
        <w:rPr>
          <w:rFonts w:asciiTheme="minorHAnsi" w:hAnsiTheme="minorHAnsi"/>
        </w:rPr>
        <w:t>Chrysale</w:t>
      </w:r>
      <w:proofErr w:type="spellEnd"/>
      <w:r w:rsidRPr="006C71B5">
        <w:rPr>
          <w:rFonts w:asciiTheme="minorHAnsi" w:hAnsiTheme="minorHAnsi"/>
        </w:rPr>
        <w:t xml:space="preserve"> éclate de colère ici et reproche à sa femme </w:t>
      </w:r>
      <w:proofErr w:type="spellStart"/>
      <w:r w:rsidRPr="006C71B5">
        <w:rPr>
          <w:rFonts w:asciiTheme="minorHAnsi" w:hAnsiTheme="minorHAnsi"/>
        </w:rPr>
        <w:t>Philaminte</w:t>
      </w:r>
      <w:proofErr w:type="spellEnd"/>
      <w:r w:rsidRPr="006C71B5">
        <w:rPr>
          <w:rFonts w:asciiTheme="minorHAnsi" w:hAnsiTheme="minorHAnsi"/>
        </w:rPr>
        <w:t xml:space="preserve"> de négliger le bon sens au profit de ses études et de son admiration pour Trissotin, un prétentieux.</w:t>
      </w:r>
    </w:p>
    <w:p w:rsidR="006C71B5" w:rsidRDefault="006C71B5"/>
    <w:p w:rsidR="006C71B5" w:rsidRDefault="006C71B5" w:rsidP="006C71B5">
      <w:pPr>
        <w:spacing w:after="0"/>
        <w:rPr>
          <w:sz w:val="36"/>
          <w:szCs w:val="36"/>
        </w:rPr>
      </w:pPr>
    </w:p>
    <w:p w:rsidR="006C71B5" w:rsidRDefault="006C71B5" w:rsidP="006C71B5">
      <w:pPr>
        <w:spacing w:after="0"/>
        <w:rPr>
          <w:sz w:val="36"/>
          <w:szCs w:val="36"/>
        </w:rPr>
      </w:pPr>
    </w:p>
    <w:p w:rsidR="006C71B5" w:rsidRDefault="006C71B5" w:rsidP="006C71B5">
      <w:pPr>
        <w:spacing w:after="0"/>
        <w:rPr>
          <w:sz w:val="36"/>
          <w:szCs w:val="36"/>
        </w:rPr>
      </w:pPr>
    </w:p>
    <w:p w:rsidR="006C71B5" w:rsidRDefault="006C71B5" w:rsidP="006C71B5">
      <w:pPr>
        <w:spacing w:after="0"/>
        <w:rPr>
          <w:sz w:val="36"/>
          <w:szCs w:val="36"/>
        </w:rPr>
      </w:pPr>
    </w:p>
    <w:p w:rsidR="006C71B5" w:rsidRDefault="006C71B5" w:rsidP="006C71B5">
      <w:pPr>
        <w:spacing w:after="0"/>
        <w:rPr>
          <w:sz w:val="36"/>
          <w:szCs w:val="36"/>
        </w:rPr>
      </w:pPr>
    </w:p>
    <w:p w:rsidR="006C71B5" w:rsidRDefault="006C71B5" w:rsidP="006C71B5">
      <w:pPr>
        <w:spacing w:after="0"/>
        <w:rPr>
          <w:sz w:val="36"/>
          <w:szCs w:val="36"/>
        </w:rPr>
      </w:pPr>
    </w:p>
    <w:p w:rsidR="006C71B5" w:rsidRDefault="006C71B5" w:rsidP="006C71B5">
      <w:pPr>
        <w:spacing w:after="0"/>
        <w:rPr>
          <w:sz w:val="36"/>
          <w:szCs w:val="36"/>
        </w:rPr>
      </w:pPr>
    </w:p>
    <w:p w:rsidR="006C71B5" w:rsidRDefault="006C71B5" w:rsidP="006C71B5">
      <w:pPr>
        <w:spacing w:after="0"/>
        <w:rPr>
          <w:sz w:val="36"/>
          <w:szCs w:val="36"/>
        </w:rPr>
      </w:pPr>
    </w:p>
    <w:p w:rsidR="006C71B5" w:rsidRDefault="006C71B5" w:rsidP="006C71B5">
      <w:pPr>
        <w:spacing w:after="0"/>
        <w:rPr>
          <w:sz w:val="36"/>
          <w:szCs w:val="36"/>
        </w:rPr>
      </w:pPr>
      <w:r w:rsidRPr="00D872D9">
        <w:rPr>
          <w:sz w:val="36"/>
          <w:szCs w:val="36"/>
        </w:rPr>
        <w:lastRenderedPageBreak/>
        <w:t>|</w:t>
      </w:r>
      <w:r>
        <w:rPr>
          <w:sz w:val="36"/>
          <w:szCs w:val="36"/>
        </w:rPr>
        <w:t>Texte</w:t>
      </w: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724747A" wp14:editId="3C952BA3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6627201" cy="7504198"/>
            <wp:effectExtent l="0" t="0" r="2540" b="1905"/>
            <wp:wrapNone/>
            <wp:docPr id="4" name="Image 4" descr="https://i.gyazo.com/c4d8a5d26a343a260e1eb324738ebc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c4d8a5d26a343a260e1eb324738ebc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201" cy="750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rPr>
          <w:sz w:val="36"/>
          <w:szCs w:val="36"/>
        </w:rPr>
      </w:pPr>
      <w:r>
        <w:rPr>
          <w:sz w:val="36"/>
          <w:szCs w:val="36"/>
        </w:rPr>
        <w:lastRenderedPageBreak/>
        <w:t>|Analyse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ligne 1-</w:t>
      </w:r>
      <w:proofErr w:type="gramStart"/>
      <w:r w:rsidRPr="00F140BD">
        <w:rPr>
          <w:rFonts w:eastAsia="Times New Roman" w:cs="Times New Roman"/>
          <w:sz w:val="24"/>
          <w:szCs w:val="24"/>
          <w:lang w:eastAsia="fr-FR"/>
        </w:rPr>
        <w:t>2:</w:t>
      </w:r>
      <w:proofErr w:type="gramEnd"/>
      <w:r w:rsidRPr="00F140BD">
        <w:rPr>
          <w:rFonts w:eastAsia="Times New Roman" w:cs="Times New Roman"/>
          <w:sz w:val="24"/>
          <w:szCs w:val="24"/>
          <w:lang w:eastAsia="fr-FR"/>
        </w:rPr>
        <w:t xml:space="preserve"> les sonorités en « </w:t>
      </w:r>
      <w:proofErr w:type="spellStart"/>
      <w:r w:rsidRPr="00F140BD">
        <w:rPr>
          <w:rFonts w:eastAsia="Times New Roman" w:cs="Times New Roman"/>
          <w:sz w:val="24"/>
          <w:szCs w:val="24"/>
          <w:lang w:eastAsia="fr-FR"/>
        </w:rPr>
        <w:t>qu</w:t>
      </w:r>
      <w:proofErr w:type="spellEnd"/>
      <w:r w:rsidRPr="00F140BD">
        <w:rPr>
          <w:rFonts w:eastAsia="Times New Roman" w:cs="Times New Roman"/>
          <w:sz w:val="24"/>
          <w:szCs w:val="24"/>
          <w:lang w:eastAsia="fr-FR"/>
        </w:rPr>
        <w:t xml:space="preserve"> » et en « r » montre le caractère d'un personnage excessif 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ligne 3 : « on » généralisation → lâcheté de l'homme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ligne 6 : « irrite » critique les femmes incapables de se contrôler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ligne 8 : « Irritation. » Son reproche vient du fait qu'elles ont accès à de la culture masculine, interdit à l'époque.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-Ligne 9-10 : Il veut faire acte de foi, brûler des livres de sciences, autodafé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-ligne 11 : « Et laisser la science aux docteurs de la ville » diérèse → séparation → insinue que les femmes et la science ne font pas bon ménage.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vers 13 : Savoir utilisable seulement par les hommes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 xml:space="preserve">-ligne 14 : hyperbole → montre l'inutilité de la science avec exagération « cent </w:t>
      </w:r>
      <w:proofErr w:type="spellStart"/>
      <w:r w:rsidRPr="00F140BD">
        <w:rPr>
          <w:rFonts w:eastAsia="Times New Roman" w:cs="Times New Roman"/>
          <w:sz w:val="24"/>
          <w:szCs w:val="24"/>
          <w:lang w:eastAsia="fr-FR"/>
        </w:rPr>
        <w:t>brinborions</w:t>
      </w:r>
      <w:proofErr w:type="spellEnd"/>
      <w:r w:rsidRPr="00F140BD">
        <w:rPr>
          <w:rFonts w:eastAsia="Times New Roman" w:cs="Times New Roman"/>
          <w:sz w:val="24"/>
          <w:szCs w:val="24"/>
          <w:lang w:eastAsia="fr-FR"/>
        </w:rPr>
        <w:t> »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ligne 14-16 : critique de la science aux mains des femmes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ligne 17 : finalité de la phrase et de la critique précédemment établie avec « sens dessus dessous » → la science aux mains des femmes provoque le désordre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ligne 20-23 : point de vue conservateur ; utilisation du présent de vérité générale → donne une portée didactique → apporte légitimité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ligne 24-27 : Retour au passé ; rimes désagréable. Nouveau trait de caractère du personnage : quelqu'un de passéiste. Antithèse « esprit se hausse » et « haut de chausse » savoir de la femme → doit se limiter à faire des vêtements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vers 28 absence de culture pour les femmes → bonne vie « Heureux sont les simples d'esprits » → référence directe à la Bible, Matthieu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-vers 30 : énumération dégradante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vers 31 : Diptyque ; Femmes qui écrivent → ironique,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-vers 32 : retour au présent, nostalgie des mœurs du passé concernant les femmes.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vers 33 : « veulent » qui traduit une certaine ironie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vers 37-38 : « Chez moi » toujours maître, cependant pas pour longtemps.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Opposition « chez moi » et « lune »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-vers 39 : homme égocentrique, bloqué dans le concret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-vers 40-41 : homme engoncé, critique sur les femmes : « Vain », « si loin »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-vers 44-45 : Polyptote « raison », paradoxe (Les femmes sont savantes mais ne savent rien)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 vers 45-51 : Phénomène de savoir chez les femmes → désordre ; savoir comparée à une maladie dans le domicile qui touche même les serviteurs, confirmé par le « infecté »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 xml:space="preserve">- vers 52 : « un grand fracas », les femmes sont incapables de se contrôler → Femmes « rendues » violentes par la science 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-vers 54 : Formulation fautive, phobie de la femme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-vers 60 : Incompréhension</w:t>
      </w:r>
    </w:p>
    <w:p w:rsidR="006C71B5" w:rsidRPr="00F140BD" w:rsidRDefault="006C71B5" w:rsidP="00F140B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-vers 64 : Atome, vocabulaire spécifique → ironie, moquerie de la part de Molière sur le dialecte utilisé par les femmes savantes</w:t>
      </w:r>
    </w:p>
    <w:p w:rsidR="006C71B5" w:rsidRPr="00F140BD" w:rsidRDefault="006C71B5" w:rsidP="00F140BD">
      <w:pPr>
        <w:spacing w:after="0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6C71B5" w:rsidRDefault="006C71B5" w:rsidP="006C71B5">
      <w:pPr>
        <w:spacing w:after="0"/>
        <w:jc w:val="both"/>
        <w:rPr>
          <w:sz w:val="36"/>
          <w:szCs w:val="36"/>
        </w:rPr>
      </w:pPr>
      <w:r w:rsidRPr="00D872D9">
        <w:rPr>
          <w:sz w:val="36"/>
          <w:szCs w:val="36"/>
        </w:rPr>
        <w:t>|</w:t>
      </w:r>
      <w:r>
        <w:rPr>
          <w:sz w:val="36"/>
          <w:szCs w:val="36"/>
        </w:rPr>
        <w:t>Problématiques &amp; plans</w:t>
      </w:r>
    </w:p>
    <w:p w:rsidR="006C71B5" w:rsidRDefault="006C71B5"/>
    <w:p w:rsidR="006C71B5" w:rsidRPr="00F140BD" w:rsidRDefault="006C71B5" w:rsidP="006C71B5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I. Une violente diatribe contre l'accès des femmes à la culture masculine</w:t>
      </w:r>
    </w:p>
    <w:p w:rsidR="006C71B5" w:rsidRPr="00F140BD" w:rsidRDefault="006C71B5" w:rsidP="006C71B5">
      <w:pPr>
        <w:spacing w:before="100" w:beforeAutospacing="1" w:after="0" w:line="240" w:lineRule="auto"/>
        <w:ind w:firstLine="708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1. un diptyque fortement construit autour de la notion d'ordre et de désordre</w:t>
      </w:r>
    </w:p>
    <w:p w:rsidR="006C71B5" w:rsidRPr="00F140BD" w:rsidRDefault="006C71B5" w:rsidP="006C71B5">
      <w:pPr>
        <w:spacing w:before="100" w:beforeAutospacing="1" w:after="0" w:line="240" w:lineRule="auto"/>
        <w:ind w:firstLine="708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2. La peur de la perte de contrôle du pater familias</w:t>
      </w:r>
    </w:p>
    <w:p w:rsidR="006C71B5" w:rsidRPr="00F140BD" w:rsidRDefault="006C71B5" w:rsidP="006C71B5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6C71B5" w:rsidRPr="00F140BD" w:rsidRDefault="006C71B5" w:rsidP="006C71B5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II. Elle-même critiquée comiquement de l'intérieur par son excessivité</w:t>
      </w:r>
    </w:p>
    <w:p w:rsidR="006C71B5" w:rsidRPr="00F140BD" w:rsidRDefault="006C71B5" w:rsidP="006C71B5">
      <w:pPr>
        <w:spacing w:before="100" w:beforeAutospacing="1" w:after="0" w:line="240" w:lineRule="auto"/>
        <w:ind w:firstLine="708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1. Un personnage excessif</w:t>
      </w:r>
    </w:p>
    <w:p w:rsidR="006C71B5" w:rsidRPr="00F140BD" w:rsidRDefault="006C71B5" w:rsidP="006C71B5">
      <w:pPr>
        <w:spacing w:before="100" w:beforeAutospacing="1" w:after="0" w:line="240" w:lineRule="auto"/>
        <w:ind w:firstLine="708"/>
        <w:rPr>
          <w:rFonts w:eastAsia="Times New Roman" w:cs="Times New Roman"/>
          <w:sz w:val="24"/>
          <w:szCs w:val="24"/>
          <w:lang w:eastAsia="fr-FR"/>
        </w:rPr>
      </w:pPr>
      <w:r w:rsidRPr="00F140BD">
        <w:rPr>
          <w:rFonts w:eastAsia="Times New Roman" w:cs="Times New Roman"/>
          <w:sz w:val="24"/>
          <w:szCs w:val="24"/>
          <w:lang w:eastAsia="fr-FR"/>
        </w:rPr>
        <w:t>2. un culte ri</w:t>
      </w:r>
      <w:bookmarkStart w:id="0" w:name="_GoBack"/>
      <w:bookmarkEnd w:id="0"/>
      <w:r w:rsidRPr="00F140BD">
        <w:rPr>
          <w:rFonts w:eastAsia="Times New Roman" w:cs="Times New Roman"/>
          <w:sz w:val="24"/>
          <w:szCs w:val="24"/>
          <w:lang w:eastAsia="fr-FR"/>
        </w:rPr>
        <w:t>dicule du passé : l'incapacité à vivre avec son époque</w:t>
      </w:r>
    </w:p>
    <w:p w:rsidR="006C71B5" w:rsidRPr="00F140BD" w:rsidRDefault="006C71B5"/>
    <w:p w:rsidR="006C71B5" w:rsidRPr="00F140BD" w:rsidRDefault="006C71B5"/>
    <w:sectPr w:rsidR="006C71B5" w:rsidRPr="00F14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B5" w:rsidRDefault="006C71B5" w:rsidP="006C71B5">
      <w:pPr>
        <w:spacing w:after="0" w:line="240" w:lineRule="auto"/>
      </w:pPr>
      <w:r>
        <w:separator/>
      </w:r>
    </w:p>
  </w:endnote>
  <w:endnote w:type="continuationSeparator" w:id="0">
    <w:p w:rsidR="006C71B5" w:rsidRDefault="006C71B5" w:rsidP="006C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B5" w:rsidRDefault="006C71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B5" w:rsidRDefault="006C71B5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eur"/>
        <w:tag w:val=""/>
        <w:id w:val="391861592"/>
        <w:placeholder>
          <w:docPart w:val="BCAEB03451DD40468798D12456F6E94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DE ROGEZ Travis et SANTAMARIA Léo</w:t>
        </w:r>
      </w:sdtContent>
    </w:sdt>
  </w:p>
  <w:p w:rsidR="006C71B5" w:rsidRDefault="006C71B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B5" w:rsidRDefault="006C71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B5" w:rsidRDefault="006C71B5" w:rsidP="006C71B5">
      <w:pPr>
        <w:spacing w:after="0" w:line="240" w:lineRule="auto"/>
      </w:pPr>
      <w:r>
        <w:separator/>
      </w:r>
    </w:p>
  </w:footnote>
  <w:footnote w:type="continuationSeparator" w:id="0">
    <w:p w:rsidR="006C71B5" w:rsidRDefault="006C71B5" w:rsidP="006C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B5" w:rsidRDefault="006C71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B5" w:rsidRDefault="006C71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B5" w:rsidRDefault="006C71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84840"/>
    <w:multiLevelType w:val="multilevel"/>
    <w:tmpl w:val="2898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B5"/>
    <w:rsid w:val="0015442F"/>
    <w:rsid w:val="006C71B5"/>
    <w:rsid w:val="007208B8"/>
    <w:rsid w:val="00D12A04"/>
    <w:rsid w:val="00F1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8A2D"/>
  <w15:chartTrackingRefBased/>
  <w15:docId w15:val="{E10670D8-29F4-4ABD-B5DB-352B13BC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C71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1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C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1B5"/>
  </w:style>
  <w:style w:type="paragraph" w:styleId="Pieddepage">
    <w:name w:val="footer"/>
    <w:basedOn w:val="Normal"/>
    <w:link w:val="PieddepageCar"/>
    <w:uiPriority w:val="99"/>
    <w:unhideWhenUsed/>
    <w:rsid w:val="006C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AEB03451DD40468798D12456F6E9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D48F01-9FFD-4C6E-A127-2064032F59FA}"/>
      </w:docPartPr>
      <w:docPartBody>
        <w:p w:rsidR="008A227C" w:rsidRDefault="00E22B25" w:rsidP="00E22B25">
          <w:pPr>
            <w:pStyle w:val="BCAEB03451DD40468798D12456F6E94B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25"/>
    <w:rsid w:val="008A227C"/>
    <w:rsid w:val="00E2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E22B25"/>
    <w:rPr>
      <w:color w:val="808080"/>
    </w:rPr>
  </w:style>
  <w:style w:type="paragraph" w:customStyle="1" w:styleId="BCAEB03451DD40468798D12456F6E94B">
    <w:name w:val="BCAEB03451DD40468798D12456F6E94B"/>
    <w:rsid w:val="00E22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ROGEZ Travis et SANTAMARIA Léo</dc:creator>
  <cp:keywords/>
  <dc:description/>
  <cp:lastModifiedBy>Marie-jose Chevrier</cp:lastModifiedBy>
  <cp:revision>2</cp:revision>
  <dcterms:created xsi:type="dcterms:W3CDTF">2016-04-23T17:22:00Z</dcterms:created>
  <dcterms:modified xsi:type="dcterms:W3CDTF">2016-04-23T17:22:00Z</dcterms:modified>
</cp:coreProperties>
</file>