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Compétences</w:t>
            </w:r>
            <w:proofErr w:type="spellEnd"/>
            <w:r w:rsidRPr="00477543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  <w:proofErr w:type="spellEnd"/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2032514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2032514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0B3EC3B4" w:rsidR="00477543" w:rsidRPr="00620CA2" w:rsidRDefault="00DD3CB5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>
              <w:rPr>
                <w:b/>
                <w:bCs/>
                <w:iCs/>
                <w:color w:val="FF0000"/>
                <w:sz w:val="24"/>
                <w:szCs w:val="24"/>
              </w:rPr>
              <w:t>1</w:t>
            </w:r>
            <w:r w:rsidR="005E52A1">
              <w:rPr>
                <w:b/>
                <w:bCs/>
                <w:iCs/>
                <w:color w:val="FF0000"/>
                <w:sz w:val="24"/>
                <w:szCs w:val="24"/>
              </w:rPr>
              <w:t>7</w:t>
            </w:r>
            <w:r w:rsidR="003618E7" w:rsidRPr="003618E7">
              <w:rPr>
                <w:b/>
                <w:bCs/>
                <w:iCs/>
                <w:color w:val="FF0000"/>
                <w:sz w:val="24"/>
                <w:szCs w:val="24"/>
              </w:rPr>
              <w:t>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5305A01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</w:t>
            </w:r>
            <w:r w:rsidR="005E52A1">
              <w:rPr>
                <w:b/>
                <w:bCs/>
                <w:u w:val="single"/>
                <w:lang w:val="fr-FR"/>
              </w:rPr>
              <w:t>14,5</w:t>
            </w:r>
            <w:r w:rsidR="00E0225E" w:rsidRPr="00A45CF7">
              <w:rPr>
                <w:b/>
                <w:bCs/>
                <w:u w:val="single"/>
                <w:lang w:val="fr-FR"/>
              </w:rPr>
              <w:t>/16</w:t>
            </w:r>
          </w:p>
          <w:p w14:paraId="2FD34BD8" w14:textId="0E9C204F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45CF7">
              <w:rPr>
                <w:lang w:val="fr-FR"/>
              </w:rPr>
              <w:t>/ grandeur du support</w:t>
            </w:r>
            <w:r w:rsidRPr="00A45CF7">
              <w:rPr>
                <w:lang w:val="fr-FR"/>
              </w:rPr>
              <w:t>)</w:t>
            </w:r>
          </w:p>
          <w:p w14:paraId="58117030" w14:textId="03D6A20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45CF7" w:rsidRDefault="00E0225E" w:rsidP="00737727">
            <w:pPr>
              <w:rPr>
                <w:lang w:val="fr-FR"/>
              </w:rPr>
            </w:pPr>
          </w:p>
          <w:p w14:paraId="048584E2" w14:textId="6140D81D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    </w:t>
            </w:r>
            <w:r w:rsidR="005E52A1">
              <w:rPr>
                <w:b/>
                <w:bCs/>
                <w:u w:val="single"/>
                <w:lang w:val="fr-FR"/>
              </w:rPr>
              <w:t>2,5</w:t>
            </w:r>
            <w:r w:rsidR="00E0225E" w:rsidRPr="00A45CF7">
              <w:rPr>
                <w:b/>
                <w:bCs/>
                <w:u w:val="single"/>
                <w:lang w:val="fr-FR"/>
              </w:rPr>
              <w:t>/4</w:t>
            </w:r>
          </w:p>
          <w:p w14:paraId="11479324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C4F7792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12E3E504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9AB955B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2142D9F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0FC34E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4EC85C8C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89B93E2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2EB8719" w14:textId="1FE9092E" w:rsidR="003618E7" w:rsidRDefault="005E52A1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50A05AC4" w14:textId="537C59E9" w:rsidR="005E52A1" w:rsidRPr="00A45CF7" w:rsidRDefault="005E52A1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42183CF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3E443593" w14:textId="77777777" w:rsidR="005E52A1" w:rsidRDefault="005E52A1" w:rsidP="00BF5099">
            <w:pPr>
              <w:spacing w:before="55"/>
              <w:rPr>
                <w:i/>
                <w:lang w:val="fr-FR"/>
              </w:rPr>
            </w:pPr>
          </w:p>
          <w:p w14:paraId="6B47EA3F" w14:textId="2918FA39" w:rsidR="00DD3CB5" w:rsidRDefault="005E52A1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184D263" w14:textId="77777777" w:rsidR="005E52A1" w:rsidRDefault="005E52A1" w:rsidP="00BF5099">
            <w:pPr>
              <w:spacing w:before="55"/>
              <w:rPr>
                <w:i/>
                <w:lang w:val="fr-FR"/>
              </w:rPr>
            </w:pPr>
          </w:p>
          <w:p w14:paraId="2E47A159" w14:textId="0C87DED5" w:rsidR="00DD3CB5" w:rsidRDefault="005E52A1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2A399B3" w14:textId="77777777" w:rsidR="005E52A1" w:rsidRDefault="005E52A1" w:rsidP="00BF5099">
            <w:pPr>
              <w:spacing w:before="55"/>
              <w:rPr>
                <w:i/>
                <w:lang w:val="fr-FR"/>
              </w:rPr>
            </w:pPr>
          </w:p>
          <w:p w14:paraId="2BC8FA11" w14:textId="77777777" w:rsidR="00DD3CB5" w:rsidRDefault="00DD3CB5" w:rsidP="00BF5099">
            <w:pPr>
              <w:spacing w:before="55"/>
              <w:rPr>
                <w:i/>
                <w:lang w:val="fr-FR"/>
              </w:rPr>
            </w:pPr>
          </w:p>
          <w:p w14:paraId="7CE348C1" w14:textId="739A6D32" w:rsidR="00DD3CB5" w:rsidRDefault="005E52A1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11637C3" w14:textId="77777777" w:rsidR="005E52A1" w:rsidRDefault="005E52A1" w:rsidP="00BF5099">
            <w:pPr>
              <w:spacing w:before="55"/>
              <w:rPr>
                <w:i/>
                <w:lang w:val="fr-FR"/>
              </w:rPr>
            </w:pPr>
          </w:p>
          <w:p w14:paraId="466448D3" w14:textId="77777777" w:rsidR="00DD3CB5" w:rsidRDefault="00DD3CB5" w:rsidP="00BF5099">
            <w:pPr>
              <w:spacing w:before="55"/>
              <w:rPr>
                <w:i/>
                <w:lang w:val="fr-FR"/>
              </w:rPr>
            </w:pPr>
          </w:p>
          <w:p w14:paraId="32C6F708" w14:textId="0DA464C4" w:rsidR="00DD3CB5" w:rsidRPr="00A45CF7" w:rsidRDefault="00DD3CB5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E583E3C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2876E455" w14:textId="77777777" w:rsidR="005E52A1" w:rsidRDefault="005E52A1" w:rsidP="00BF5099">
            <w:pPr>
              <w:spacing w:before="55"/>
              <w:rPr>
                <w:i/>
                <w:lang w:val="fr-FR"/>
              </w:rPr>
            </w:pPr>
          </w:p>
          <w:p w14:paraId="2B218926" w14:textId="77777777" w:rsidR="005E52A1" w:rsidRDefault="005E52A1" w:rsidP="00BF5099">
            <w:pPr>
              <w:spacing w:before="55"/>
              <w:rPr>
                <w:i/>
                <w:lang w:val="fr-FR"/>
              </w:rPr>
            </w:pPr>
          </w:p>
          <w:p w14:paraId="1C3528A4" w14:textId="1105EB53" w:rsidR="00DD3CB5" w:rsidRDefault="00FC021F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5FFC1FB" w14:textId="76BA61E1" w:rsidR="00FC021F" w:rsidRPr="00A45CF7" w:rsidRDefault="00FC021F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3BBB9991" w14:textId="7422530A" w:rsidR="001E1561" w:rsidRDefault="00FC021F">
      <w:pPr>
        <w:rPr>
          <w:i/>
          <w:iCs/>
        </w:rPr>
      </w:pPr>
      <w:r>
        <w:rPr>
          <w:i/>
          <w:iCs/>
        </w:rPr>
        <w:t xml:space="preserve">Ton </w:t>
      </w:r>
      <w:proofErr w:type="spellStart"/>
      <w:r>
        <w:rPr>
          <w:i/>
          <w:iCs/>
        </w:rPr>
        <w:t>moodboard</w:t>
      </w:r>
      <w:proofErr w:type="spellEnd"/>
      <w:r>
        <w:rPr>
          <w:i/>
          <w:iCs/>
        </w:rPr>
        <w:t xml:space="preserve"> est représentatif de ta pratique et tu l’expliques clairement. Sois cependant </w:t>
      </w:r>
      <w:r w:rsidRPr="00FC021F">
        <w:rPr>
          <w:b/>
          <w:bCs/>
          <w:i/>
          <w:iCs/>
        </w:rPr>
        <w:t>beaucoup</w:t>
      </w:r>
      <w:r>
        <w:rPr>
          <w:i/>
          <w:iCs/>
        </w:rPr>
        <w:t xml:space="preserve"> plus synthétique, tu te répètes. Enonce plus tôt que ce qui t’intéresse c’est la diversité des supports</w:t>
      </w:r>
      <w:r w:rsidR="005E52A1">
        <w:rPr>
          <w:i/>
          <w:iCs/>
        </w:rPr>
        <w:t xml:space="preserve"> et des techniques</w:t>
      </w:r>
      <w:r>
        <w:rPr>
          <w:i/>
          <w:iCs/>
        </w:rPr>
        <w:t xml:space="preserve">. Peut-être est-il d’ailleurs dommage de ne pas avoir montré des photos de tes maquillages et ongles en lien avec cette question. </w:t>
      </w:r>
      <w:r w:rsidR="005E52A1">
        <w:rPr>
          <w:i/>
          <w:iCs/>
        </w:rPr>
        <w:t>Sois plus concrète dans la présentation des pistes que tu vas travailler.</w:t>
      </w:r>
    </w:p>
    <w:p w14:paraId="67025ECC" w14:textId="474A9743" w:rsidR="00FC021F" w:rsidRPr="00A45CF7" w:rsidRDefault="00FC021F">
      <w:pPr>
        <w:rPr>
          <w:i/>
          <w:iCs/>
        </w:rPr>
      </w:pPr>
      <w:r>
        <w:rPr>
          <w:i/>
          <w:iCs/>
        </w:rPr>
        <w:t>Note pour plus tard : Référence incontournable : Kurt Schwitters quant au travail de récupération des éléments du quotidien (l’un des premier</w:t>
      </w:r>
      <w:r w:rsidR="005E52A1">
        <w:rPr>
          <w:i/>
          <w:iCs/>
        </w:rPr>
        <w:t>s</w:t>
      </w:r>
      <w:r>
        <w:rPr>
          <w:i/>
          <w:iCs/>
        </w:rPr>
        <w:t xml:space="preserve"> à l’avoir fait) et du </w:t>
      </w:r>
      <w:proofErr w:type="spellStart"/>
      <w:r>
        <w:rPr>
          <w:i/>
          <w:iCs/>
        </w:rPr>
        <w:t>street</w:t>
      </w:r>
      <w:proofErr w:type="spellEnd"/>
      <w:r>
        <w:rPr>
          <w:i/>
          <w:iCs/>
        </w:rPr>
        <w:t xml:space="preserve"> art (les premiers à sortir l’art des murs des musées). </w:t>
      </w:r>
    </w:p>
    <w:sectPr w:rsidR="00FC021F" w:rsidRPr="00A45CF7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1E1561"/>
    <w:rsid w:val="00247ADF"/>
    <w:rsid w:val="002B0232"/>
    <w:rsid w:val="003618E7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5E52A1"/>
    <w:rsid w:val="00620CA2"/>
    <w:rsid w:val="00630F2B"/>
    <w:rsid w:val="00737727"/>
    <w:rsid w:val="0078468E"/>
    <w:rsid w:val="008E2812"/>
    <w:rsid w:val="009812D2"/>
    <w:rsid w:val="00997957"/>
    <w:rsid w:val="009A3DEE"/>
    <w:rsid w:val="009F070E"/>
    <w:rsid w:val="00A45CF7"/>
    <w:rsid w:val="00B85E28"/>
    <w:rsid w:val="00BF10C5"/>
    <w:rsid w:val="00BF5099"/>
    <w:rsid w:val="00C72A51"/>
    <w:rsid w:val="00CD345D"/>
    <w:rsid w:val="00D3715E"/>
    <w:rsid w:val="00DD3CB5"/>
    <w:rsid w:val="00E0225E"/>
    <w:rsid w:val="00E57BA5"/>
    <w:rsid w:val="00F074FE"/>
    <w:rsid w:val="00F349B8"/>
    <w:rsid w:val="00F64462"/>
    <w:rsid w:val="00FC021F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2</cp:revision>
  <cp:lastPrinted>2022-09-30T09:14:00Z</cp:lastPrinted>
  <dcterms:created xsi:type="dcterms:W3CDTF">2023-10-10T16:26:00Z</dcterms:created>
  <dcterms:modified xsi:type="dcterms:W3CDTF">2023-10-10T16:26:00Z</dcterms:modified>
</cp:coreProperties>
</file>