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1F1" w:rsidRDefault="0068497E" w:rsidP="00666CF9">
      <w:pPr>
        <w:pStyle w:val="Titre1"/>
        <w:rPr>
          <w:sz w:val="28"/>
          <w:szCs w:val="28"/>
        </w:rPr>
      </w:pPr>
      <w:bookmarkStart w:id="0" w:name="_Toc197502459"/>
      <w:bookmarkStart w:id="1" w:name="_GoBack"/>
      <w:bookmarkEnd w:id="1"/>
      <w:r>
        <w:rPr>
          <w:noProof/>
        </w:rPr>
        <w:drawing>
          <wp:anchor distT="0" distB="0" distL="114300" distR="114300" simplePos="0" relativeHeight="251658240" behindDoc="1" locked="0" layoutInCell="1" allowOverlap="1">
            <wp:simplePos x="0" y="0"/>
            <wp:positionH relativeFrom="column">
              <wp:posOffset>4267200</wp:posOffset>
            </wp:positionH>
            <wp:positionV relativeFrom="paragraph">
              <wp:posOffset>-114300</wp:posOffset>
            </wp:positionV>
            <wp:extent cx="1454785" cy="1162050"/>
            <wp:effectExtent l="0" t="0" r="0" b="0"/>
            <wp:wrapTight wrapText="bothSides">
              <wp:wrapPolygon edited="0">
                <wp:start x="0" y="0"/>
                <wp:lineTo x="0" y="21246"/>
                <wp:lineTo x="21213" y="21246"/>
                <wp:lineTo x="21213"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54785" cy="1162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451F1" w:rsidRDefault="004451F1" w:rsidP="00666CF9">
      <w:pPr>
        <w:pStyle w:val="Titre1"/>
        <w:rPr>
          <w:sz w:val="28"/>
          <w:szCs w:val="28"/>
        </w:rPr>
      </w:pPr>
    </w:p>
    <w:p w:rsidR="004451F1" w:rsidRDefault="004451F1" w:rsidP="00666CF9">
      <w:pPr>
        <w:pStyle w:val="Titre1"/>
        <w:rPr>
          <w:sz w:val="28"/>
          <w:szCs w:val="28"/>
        </w:rPr>
      </w:pPr>
    </w:p>
    <w:p w:rsidR="00E56529" w:rsidRPr="00082B01" w:rsidRDefault="00573A2A" w:rsidP="00666CF9">
      <w:pPr>
        <w:pStyle w:val="Titre1"/>
        <w:rPr>
          <w:sz w:val="28"/>
          <w:szCs w:val="28"/>
        </w:rPr>
      </w:pPr>
      <w:r w:rsidRPr="00082B01">
        <w:rPr>
          <w:sz w:val="28"/>
          <w:szCs w:val="28"/>
        </w:rPr>
        <w:t>Le rôle de la littérat</w:t>
      </w:r>
      <w:r w:rsidR="005F2893" w:rsidRPr="00082B01">
        <w:rPr>
          <w:sz w:val="28"/>
          <w:szCs w:val="28"/>
        </w:rPr>
        <w:t>ie dans le processus d’acculturation des migrants</w:t>
      </w:r>
      <w:bookmarkEnd w:id="0"/>
    </w:p>
    <w:p w:rsidR="0068794F" w:rsidRPr="00082B01" w:rsidRDefault="0068794F" w:rsidP="00666CF9">
      <w:pPr>
        <w:pStyle w:val="Titre1"/>
        <w:rPr>
          <w:sz w:val="24"/>
          <w:szCs w:val="24"/>
        </w:rPr>
      </w:pPr>
      <w:bookmarkStart w:id="2" w:name="_Toc197502460"/>
      <w:r w:rsidRPr="00082B01">
        <w:rPr>
          <w:sz w:val="24"/>
          <w:szCs w:val="24"/>
        </w:rPr>
        <w:t>Hervé ADAMI</w:t>
      </w:r>
      <w:bookmarkEnd w:id="2"/>
    </w:p>
    <w:p w:rsidR="0068794F" w:rsidRPr="00482F23" w:rsidRDefault="0068794F" w:rsidP="00666CF9">
      <w:pPr>
        <w:pStyle w:val="Titre1"/>
        <w:spacing w:before="0"/>
        <w:rPr>
          <w:i/>
          <w:sz w:val="22"/>
          <w:szCs w:val="22"/>
        </w:rPr>
      </w:pPr>
      <w:bookmarkStart w:id="3" w:name="_Toc197502461"/>
      <w:r w:rsidRPr="00482F23">
        <w:rPr>
          <w:i/>
          <w:sz w:val="22"/>
          <w:szCs w:val="22"/>
        </w:rPr>
        <w:t>Maître de conférences, Nancy Université</w:t>
      </w:r>
      <w:r w:rsidR="00666CF9" w:rsidRPr="00482F23">
        <w:rPr>
          <w:i/>
          <w:sz w:val="22"/>
          <w:szCs w:val="22"/>
        </w:rPr>
        <w:t xml:space="preserve"> </w:t>
      </w:r>
      <w:r w:rsidR="00491587" w:rsidRPr="00482F23">
        <w:rPr>
          <w:i/>
          <w:sz w:val="22"/>
          <w:szCs w:val="22"/>
        </w:rPr>
        <w:t xml:space="preserve">/ </w:t>
      </w:r>
      <w:r w:rsidRPr="00482F23">
        <w:rPr>
          <w:i/>
          <w:sz w:val="22"/>
          <w:szCs w:val="22"/>
        </w:rPr>
        <w:t>ATILF (équipe Crapel) CNRS</w:t>
      </w:r>
      <w:bookmarkEnd w:id="3"/>
    </w:p>
    <w:p w:rsidR="00AA236B" w:rsidRDefault="00AA236B" w:rsidP="0068794F">
      <w:pPr>
        <w:spacing w:before="120"/>
        <w:rPr>
          <w:b/>
          <w:bCs/>
          <w:sz w:val="28"/>
          <w:szCs w:val="28"/>
        </w:rPr>
      </w:pPr>
    </w:p>
    <w:p w:rsidR="00482F23" w:rsidRDefault="00482F23" w:rsidP="0068794F">
      <w:pPr>
        <w:spacing w:before="120"/>
        <w:rPr>
          <w:b/>
          <w:bCs/>
          <w:sz w:val="28"/>
          <w:szCs w:val="28"/>
        </w:rPr>
      </w:pPr>
    </w:p>
    <w:tbl>
      <w:tblPr>
        <w:tblStyle w:val="Grilledutableau"/>
        <w:tblW w:w="0" w:type="auto"/>
        <w:tblLook w:val="01E0" w:firstRow="1" w:lastRow="1" w:firstColumn="1" w:lastColumn="1" w:noHBand="0" w:noVBand="0"/>
      </w:tblPr>
      <w:tblGrid>
        <w:gridCol w:w="8948"/>
      </w:tblGrid>
      <w:tr w:rsidR="00491587" w:rsidTr="004451F1">
        <w:tc>
          <w:tcPr>
            <w:tcW w:w="9174" w:type="dxa"/>
          </w:tcPr>
          <w:p w:rsidR="00491587" w:rsidRDefault="00491587">
            <w:pPr>
              <w:pStyle w:val="TM2"/>
              <w:tabs>
                <w:tab w:val="right" w:leader="dot" w:pos="9193"/>
              </w:tabs>
              <w:rPr>
                <w:noProof/>
              </w:rPr>
            </w:pPr>
            <w:r>
              <w:rPr>
                <w:b/>
                <w:bCs/>
                <w:sz w:val="28"/>
                <w:szCs w:val="28"/>
              </w:rPr>
              <w:fldChar w:fldCharType="begin"/>
            </w:r>
            <w:r>
              <w:rPr>
                <w:b/>
                <w:bCs/>
                <w:sz w:val="28"/>
                <w:szCs w:val="28"/>
              </w:rPr>
              <w:instrText xml:space="preserve"> TOC \o "1-3" \h \z \u </w:instrText>
            </w:r>
            <w:r>
              <w:rPr>
                <w:b/>
                <w:bCs/>
                <w:sz w:val="28"/>
                <w:szCs w:val="28"/>
              </w:rPr>
              <w:fldChar w:fldCharType="separate"/>
            </w:r>
          </w:p>
          <w:p w:rsidR="00491587" w:rsidRPr="00491587" w:rsidRDefault="00491587" w:rsidP="00491587">
            <w:pPr>
              <w:pStyle w:val="TM2"/>
              <w:tabs>
                <w:tab w:val="right" w:leader="dot" w:pos="8820"/>
              </w:tabs>
              <w:spacing w:before="40"/>
              <w:ind w:left="238"/>
              <w:rPr>
                <w:rFonts w:ascii="Arial" w:hAnsi="Arial" w:cs="Arial"/>
                <w:noProof/>
                <w:sz w:val="20"/>
                <w:szCs w:val="20"/>
              </w:rPr>
            </w:pPr>
            <w:hyperlink w:anchor="_Toc197502463" w:history="1">
              <w:r w:rsidRPr="00491587">
                <w:rPr>
                  <w:rStyle w:val="Lienhypertexte"/>
                  <w:rFonts w:ascii="Arial" w:hAnsi="Arial" w:cs="Arial"/>
                  <w:noProof/>
                  <w:sz w:val="20"/>
                  <w:szCs w:val="20"/>
                </w:rPr>
                <w:t>Introduction</w:t>
              </w:r>
              <w:r w:rsidRPr="00491587">
                <w:rPr>
                  <w:rFonts w:ascii="Arial" w:hAnsi="Arial" w:cs="Arial"/>
                  <w:noProof/>
                  <w:webHidden/>
                  <w:sz w:val="20"/>
                  <w:szCs w:val="20"/>
                </w:rPr>
                <w:tab/>
              </w:r>
              <w:r w:rsidRPr="00491587">
                <w:rPr>
                  <w:rFonts w:ascii="Arial" w:hAnsi="Arial" w:cs="Arial"/>
                  <w:noProof/>
                  <w:webHidden/>
                  <w:sz w:val="20"/>
                  <w:szCs w:val="20"/>
                </w:rPr>
                <w:fldChar w:fldCharType="begin"/>
              </w:r>
              <w:r w:rsidRPr="00491587">
                <w:rPr>
                  <w:rFonts w:ascii="Arial" w:hAnsi="Arial" w:cs="Arial"/>
                  <w:noProof/>
                  <w:webHidden/>
                  <w:sz w:val="20"/>
                  <w:szCs w:val="20"/>
                </w:rPr>
                <w:instrText xml:space="preserve"> PAGEREF _Toc197502463 \h </w:instrText>
              </w:r>
              <w:r w:rsidR="00161952" w:rsidRPr="00482F23">
                <w:rPr>
                  <w:rFonts w:ascii="Arial" w:hAnsi="Arial" w:cs="Arial"/>
                  <w:noProof/>
                  <w:sz w:val="20"/>
                  <w:szCs w:val="20"/>
                </w:rPr>
              </w:r>
              <w:r w:rsidRPr="00491587">
                <w:rPr>
                  <w:rFonts w:ascii="Arial" w:hAnsi="Arial" w:cs="Arial"/>
                  <w:noProof/>
                  <w:webHidden/>
                  <w:sz w:val="20"/>
                  <w:szCs w:val="20"/>
                </w:rPr>
                <w:fldChar w:fldCharType="separate"/>
              </w:r>
              <w:r w:rsidR="00482F23">
                <w:rPr>
                  <w:rFonts w:ascii="Arial" w:hAnsi="Arial" w:cs="Arial"/>
                  <w:noProof/>
                  <w:webHidden/>
                  <w:sz w:val="20"/>
                  <w:szCs w:val="20"/>
                </w:rPr>
                <w:t>2</w:t>
              </w:r>
              <w:r w:rsidRPr="00491587">
                <w:rPr>
                  <w:rFonts w:ascii="Arial" w:hAnsi="Arial" w:cs="Arial"/>
                  <w:noProof/>
                  <w:webHidden/>
                  <w:sz w:val="20"/>
                  <w:szCs w:val="20"/>
                </w:rPr>
                <w:fldChar w:fldCharType="end"/>
              </w:r>
            </w:hyperlink>
          </w:p>
          <w:p w:rsidR="00491587" w:rsidRPr="00491587" w:rsidRDefault="00491587" w:rsidP="00491587">
            <w:pPr>
              <w:pStyle w:val="TM2"/>
              <w:tabs>
                <w:tab w:val="left" w:pos="720"/>
                <w:tab w:val="right" w:leader="dot" w:pos="8820"/>
              </w:tabs>
              <w:spacing w:before="40"/>
              <w:ind w:left="238"/>
              <w:rPr>
                <w:rFonts w:ascii="Arial" w:hAnsi="Arial" w:cs="Arial"/>
                <w:noProof/>
                <w:sz w:val="20"/>
                <w:szCs w:val="20"/>
              </w:rPr>
            </w:pPr>
            <w:hyperlink w:anchor="_Toc197502464" w:history="1">
              <w:r w:rsidRPr="00491587">
                <w:rPr>
                  <w:rStyle w:val="Lienhypertexte"/>
                  <w:rFonts w:ascii="Arial" w:hAnsi="Arial" w:cs="Arial"/>
                  <w:noProof/>
                  <w:sz w:val="20"/>
                  <w:szCs w:val="20"/>
                </w:rPr>
                <w:t>1.</w:t>
              </w:r>
              <w:r w:rsidRPr="00491587">
                <w:rPr>
                  <w:rFonts w:ascii="Arial" w:hAnsi="Arial" w:cs="Arial"/>
                  <w:noProof/>
                  <w:sz w:val="20"/>
                  <w:szCs w:val="20"/>
                </w:rPr>
                <w:tab/>
              </w:r>
              <w:r w:rsidRPr="00491587">
                <w:rPr>
                  <w:rStyle w:val="Lienhypertexte"/>
                  <w:rFonts w:ascii="Arial" w:hAnsi="Arial" w:cs="Arial"/>
                  <w:noProof/>
                  <w:sz w:val="20"/>
                  <w:szCs w:val="20"/>
                </w:rPr>
                <w:t>La scolarisation dans les pays d’origine</w:t>
              </w:r>
              <w:r w:rsidRPr="00491587">
                <w:rPr>
                  <w:rFonts w:ascii="Arial" w:hAnsi="Arial" w:cs="Arial"/>
                  <w:noProof/>
                  <w:webHidden/>
                  <w:sz w:val="20"/>
                  <w:szCs w:val="20"/>
                </w:rPr>
                <w:tab/>
              </w:r>
              <w:r w:rsidRPr="00491587">
                <w:rPr>
                  <w:rFonts w:ascii="Arial" w:hAnsi="Arial" w:cs="Arial"/>
                  <w:noProof/>
                  <w:webHidden/>
                  <w:sz w:val="20"/>
                  <w:szCs w:val="20"/>
                </w:rPr>
                <w:fldChar w:fldCharType="begin"/>
              </w:r>
              <w:r w:rsidRPr="00491587">
                <w:rPr>
                  <w:rFonts w:ascii="Arial" w:hAnsi="Arial" w:cs="Arial"/>
                  <w:noProof/>
                  <w:webHidden/>
                  <w:sz w:val="20"/>
                  <w:szCs w:val="20"/>
                </w:rPr>
                <w:instrText xml:space="preserve"> PAGEREF _Toc197502464 \h </w:instrText>
              </w:r>
              <w:r w:rsidR="00161952" w:rsidRPr="00482F23">
                <w:rPr>
                  <w:rFonts w:ascii="Arial" w:hAnsi="Arial" w:cs="Arial"/>
                  <w:noProof/>
                  <w:sz w:val="20"/>
                  <w:szCs w:val="20"/>
                </w:rPr>
              </w:r>
              <w:r w:rsidRPr="00491587">
                <w:rPr>
                  <w:rFonts w:ascii="Arial" w:hAnsi="Arial" w:cs="Arial"/>
                  <w:noProof/>
                  <w:webHidden/>
                  <w:sz w:val="20"/>
                  <w:szCs w:val="20"/>
                </w:rPr>
                <w:fldChar w:fldCharType="separate"/>
              </w:r>
              <w:r w:rsidR="00482F23">
                <w:rPr>
                  <w:rFonts w:ascii="Arial" w:hAnsi="Arial" w:cs="Arial"/>
                  <w:noProof/>
                  <w:webHidden/>
                  <w:sz w:val="20"/>
                  <w:szCs w:val="20"/>
                </w:rPr>
                <w:t>2</w:t>
              </w:r>
              <w:r w:rsidRPr="00491587">
                <w:rPr>
                  <w:rFonts w:ascii="Arial" w:hAnsi="Arial" w:cs="Arial"/>
                  <w:noProof/>
                  <w:webHidden/>
                  <w:sz w:val="20"/>
                  <w:szCs w:val="20"/>
                </w:rPr>
                <w:fldChar w:fldCharType="end"/>
              </w:r>
            </w:hyperlink>
          </w:p>
          <w:p w:rsidR="00491587" w:rsidRPr="00491587" w:rsidRDefault="00491587" w:rsidP="00491587">
            <w:pPr>
              <w:pStyle w:val="TM2"/>
              <w:tabs>
                <w:tab w:val="left" w:pos="720"/>
                <w:tab w:val="right" w:leader="dot" w:pos="8820"/>
              </w:tabs>
              <w:spacing w:before="40"/>
              <w:ind w:left="238"/>
              <w:rPr>
                <w:rFonts w:ascii="Arial" w:hAnsi="Arial" w:cs="Arial"/>
                <w:noProof/>
                <w:sz w:val="20"/>
                <w:szCs w:val="20"/>
              </w:rPr>
            </w:pPr>
            <w:hyperlink w:anchor="_Toc197502465" w:history="1">
              <w:r w:rsidRPr="00491587">
                <w:rPr>
                  <w:rStyle w:val="Lienhypertexte"/>
                  <w:rFonts w:ascii="Arial" w:hAnsi="Arial" w:cs="Arial"/>
                  <w:noProof/>
                  <w:sz w:val="20"/>
                  <w:szCs w:val="20"/>
                </w:rPr>
                <w:t>2.</w:t>
              </w:r>
              <w:r w:rsidRPr="00491587">
                <w:rPr>
                  <w:rFonts w:ascii="Arial" w:hAnsi="Arial" w:cs="Arial"/>
                  <w:noProof/>
                  <w:sz w:val="20"/>
                  <w:szCs w:val="20"/>
                </w:rPr>
                <w:tab/>
              </w:r>
              <w:r w:rsidRPr="00491587">
                <w:rPr>
                  <w:rStyle w:val="Lienhypertexte"/>
                  <w:rFonts w:ascii="Arial" w:hAnsi="Arial" w:cs="Arial"/>
                  <w:noProof/>
                  <w:sz w:val="20"/>
                  <w:szCs w:val="20"/>
                </w:rPr>
                <w:t>Oralité et scripturalité</w:t>
              </w:r>
              <w:r w:rsidRPr="00491587">
                <w:rPr>
                  <w:rFonts w:ascii="Arial" w:hAnsi="Arial" w:cs="Arial"/>
                  <w:noProof/>
                  <w:webHidden/>
                  <w:sz w:val="20"/>
                  <w:szCs w:val="20"/>
                </w:rPr>
                <w:tab/>
              </w:r>
              <w:r w:rsidRPr="00491587">
                <w:rPr>
                  <w:rFonts w:ascii="Arial" w:hAnsi="Arial" w:cs="Arial"/>
                  <w:noProof/>
                  <w:webHidden/>
                  <w:sz w:val="20"/>
                  <w:szCs w:val="20"/>
                </w:rPr>
                <w:fldChar w:fldCharType="begin"/>
              </w:r>
              <w:r w:rsidRPr="00491587">
                <w:rPr>
                  <w:rFonts w:ascii="Arial" w:hAnsi="Arial" w:cs="Arial"/>
                  <w:noProof/>
                  <w:webHidden/>
                  <w:sz w:val="20"/>
                  <w:szCs w:val="20"/>
                </w:rPr>
                <w:instrText xml:space="preserve"> PAGEREF _Toc197502465 \h </w:instrText>
              </w:r>
              <w:r w:rsidR="00161952" w:rsidRPr="00482F23">
                <w:rPr>
                  <w:rFonts w:ascii="Arial" w:hAnsi="Arial" w:cs="Arial"/>
                  <w:noProof/>
                  <w:sz w:val="20"/>
                  <w:szCs w:val="20"/>
                </w:rPr>
              </w:r>
              <w:r w:rsidRPr="00491587">
                <w:rPr>
                  <w:rFonts w:ascii="Arial" w:hAnsi="Arial" w:cs="Arial"/>
                  <w:noProof/>
                  <w:webHidden/>
                  <w:sz w:val="20"/>
                  <w:szCs w:val="20"/>
                </w:rPr>
                <w:fldChar w:fldCharType="separate"/>
              </w:r>
              <w:r w:rsidR="00482F23">
                <w:rPr>
                  <w:rFonts w:ascii="Arial" w:hAnsi="Arial" w:cs="Arial"/>
                  <w:noProof/>
                  <w:webHidden/>
                  <w:sz w:val="20"/>
                  <w:szCs w:val="20"/>
                </w:rPr>
                <w:t>4</w:t>
              </w:r>
              <w:r w:rsidRPr="00491587">
                <w:rPr>
                  <w:rFonts w:ascii="Arial" w:hAnsi="Arial" w:cs="Arial"/>
                  <w:noProof/>
                  <w:webHidden/>
                  <w:sz w:val="20"/>
                  <w:szCs w:val="20"/>
                </w:rPr>
                <w:fldChar w:fldCharType="end"/>
              </w:r>
            </w:hyperlink>
          </w:p>
          <w:p w:rsidR="00491587" w:rsidRPr="00491587" w:rsidRDefault="00491587" w:rsidP="00491587">
            <w:pPr>
              <w:pStyle w:val="TM2"/>
              <w:tabs>
                <w:tab w:val="left" w:pos="720"/>
                <w:tab w:val="right" w:leader="dot" w:pos="8820"/>
              </w:tabs>
              <w:spacing w:before="40"/>
              <w:ind w:left="238"/>
              <w:rPr>
                <w:rFonts w:ascii="Arial" w:hAnsi="Arial" w:cs="Arial"/>
                <w:noProof/>
                <w:sz w:val="20"/>
                <w:szCs w:val="20"/>
              </w:rPr>
            </w:pPr>
            <w:hyperlink w:anchor="_Toc197502466" w:history="1">
              <w:r w:rsidRPr="00491587">
                <w:rPr>
                  <w:rStyle w:val="Lienhypertexte"/>
                  <w:rFonts w:ascii="Arial" w:hAnsi="Arial" w:cs="Arial"/>
                  <w:noProof/>
                  <w:sz w:val="20"/>
                  <w:szCs w:val="20"/>
                </w:rPr>
                <w:t>3.</w:t>
              </w:r>
              <w:r w:rsidRPr="00491587">
                <w:rPr>
                  <w:rFonts w:ascii="Arial" w:hAnsi="Arial" w:cs="Arial"/>
                  <w:noProof/>
                  <w:sz w:val="20"/>
                  <w:szCs w:val="20"/>
                </w:rPr>
                <w:tab/>
              </w:r>
              <w:r w:rsidRPr="00491587">
                <w:rPr>
                  <w:rStyle w:val="Lienhypertexte"/>
                  <w:rFonts w:ascii="Arial" w:hAnsi="Arial" w:cs="Arial"/>
                  <w:noProof/>
                  <w:sz w:val="20"/>
                  <w:szCs w:val="20"/>
                </w:rPr>
                <w:t>L’immigré et le « choc des papiers »</w:t>
              </w:r>
              <w:r w:rsidRPr="00491587">
                <w:rPr>
                  <w:rFonts w:ascii="Arial" w:hAnsi="Arial" w:cs="Arial"/>
                  <w:noProof/>
                  <w:webHidden/>
                  <w:sz w:val="20"/>
                  <w:szCs w:val="20"/>
                </w:rPr>
                <w:tab/>
              </w:r>
              <w:r w:rsidRPr="00491587">
                <w:rPr>
                  <w:rFonts w:ascii="Arial" w:hAnsi="Arial" w:cs="Arial"/>
                  <w:noProof/>
                  <w:webHidden/>
                  <w:sz w:val="20"/>
                  <w:szCs w:val="20"/>
                </w:rPr>
                <w:fldChar w:fldCharType="begin"/>
              </w:r>
              <w:r w:rsidRPr="00491587">
                <w:rPr>
                  <w:rFonts w:ascii="Arial" w:hAnsi="Arial" w:cs="Arial"/>
                  <w:noProof/>
                  <w:webHidden/>
                  <w:sz w:val="20"/>
                  <w:szCs w:val="20"/>
                </w:rPr>
                <w:instrText xml:space="preserve"> PAGEREF _Toc197502466 \h </w:instrText>
              </w:r>
              <w:r w:rsidR="00161952" w:rsidRPr="00482F23">
                <w:rPr>
                  <w:rFonts w:ascii="Arial" w:hAnsi="Arial" w:cs="Arial"/>
                  <w:noProof/>
                  <w:sz w:val="20"/>
                  <w:szCs w:val="20"/>
                </w:rPr>
              </w:r>
              <w:r w:rsidRPr="00491587">
                <w:rPr>
                  <w:rFonts w:ascii="Arial" w:hAnsi="Arial" w:cs="Arial"/>
                  <w:noProof/>
                  <w:webHidden/>
                  <w:sz w:val="20"/>
                  <w:szCs w:val="20"/>
                </w:rPr>
                <w:fldChar w:fldCharType="separate"/>
              </w:r>
              <w:r w:rsidR="00482F23">
                <w:rPr>
                  <w:rFonts w:ascii="Arial" w:hAnsi="Arial" w:cs="Arial"/>
                  <w:noProof/>
                  <w:webHidden/>
                  <w:sz w:val="20"/>
                  <w:szCs w:val="20"/>
                </w:rPr>
                <w:t>5</w:t>
              </w:r>
              <w:r w:rsidRPr="00491587">
                <w:rPr>
                  <w:rFonts w:ascii="Arial" w:hAnsi="Arial" w:cs="Arial"/>
                  <w:noProof/>
                  <w:webHidden/>
                  <w:sz w:val="20"/>
                  <w:szCs w:val="20"/>
                </w:rPr>
                <w:fldChar w:fldCharType="end"/>
              </w:r>
            </w:hyperlink>
          </w:p>
          <w:p w:rsidR="00491587" w:rsidRPr="00491587" w:rsidRDefault="00491587" w:rsidP="00491587">
            <w:pPr>
              <w:pStyle w:val="TM2"/>
              <w:tabs>
                <w:tab w:val="left" w:pos="720"/>
                <w:tab w:val="right" w:leader="dot" w:pos="8820"/>
              </w:tabs>
              <w:spacing w:before="40"/>
              <w:ind w:left="238"/>
              <w:rPr>
                <w:rFonts w:ascii="Arial" w:hAnsi="Arial" w:cs="Arial"/>
                <w:noProof/>
                <w:sz w:val="20"/>
                <w:szCs w:val="20"/>
              </w:rPr>
            </w:pPr>
            <w:hyperlink w:anchor="_Toc197502467" w:history="1">
              <w:r w:rsidRPr="00491587">
                <w:rPr>
                  <w:rStyle w:val="Lienhypertexte"/>
                  <w:rFonts w:ascii="Arial" w:hAnsi="Arial" w:cs="Arial"/>
                  <w:noProof/>
                  <w:sz w:val="20"/>
                  <w:szCs w:val="20"/>
                </w:rPr>
                <w:t>4.</w:t>
              </w:r>
              <w:r w:rsidRPr="00491587">
                <w:rPr>
                  <w:rFonts w:ascii="Arial" w:hAnsi="Arial" w:cs="Arial"/>
                  <w:noProof/>
                  <w:sz w:val="20"/>
                  <w:szCs w:val="20"/>
                </w:rPr>
                <w:tab/>
              </w:r>
              <w:r w:rsidRPr="00491587">
                <w:rPr>
                  <w:rStyle w:val="Lienhypertexte"/>
                  <w:rFonts w:ascii="Arial" w:hAnsi="Arial" w:cs="Arial"/>
                  <w:noProof/>
                  <w:sz w:val="20"/>
                  <w:szCs w:val="20"/>
                </w:rPr>
                <w:t>Exemples de  trois migrants face à l’ordre graphique</w:t>
              </w:r>
              <w:r w:rsidRPr="00491587">
                <w:rPr>
                  <w:rFonts w:ascii="Arial" w:hAnsi="Arial" w:cs="Arial"/>
                  <w:noProof/>
                  <w:webHidden/>
                  <w:sz w:val="20"/>
                  <w:szCs w:val="20"/>
                </w:rPr>
                <w:tab/>
              </w:r>
              <w:r w:rsidRPr="00491587">
                <w:rPr>
                  <w:rFonts w:ascii="Arial" w:hAnsi="Arial" w:cs="Arial"/>
                  <w:noProof/>
                  <w:webHidden/>
                  <w:sz w:val="20"/>
                  <w:szCs w:val="20"/>
                </w:rPr>
                <w:fldChar w:fldCharType="begin"/>
              </w:r>
              <w:r w:rsidRPr="00491587">
                <w:rPr>
                  <w:rFonts w:ascii="Arial" w:hAnsi="Arial" w:cs="Arial"/>
                  <w:noProof/>
                  <w:webHidden/>
                  <w:sz w:val="20"/>
                  <w:szCs w:val="20"/>
                </w:rPr>
                <w:instrText xml:space="preserve"> PAGEREF _Toc197502467 \h </w:instrText>
              </w:r>
              <w:r w:rsidR="00161952" w:rsidRPr="00482F23">
                <w:rPr>
                  <w:rFonts w:ascii="Arial" w:hAnsi="Arial" w:cs="Arial"/>
                  <w:noProof/>
                  <w:sz w:val="20"/>
                  <w:szCs w:val="20"/>
                </w:rPr>
              </w:r>
              <w:r w:rsidRPr="00491587">
                <w:rPr>
                  <w:rFonts w:ascii="Arial" w:hAnsi="Arial" w:cs="Arial"/>
                  <w:noProof/>
                  <w:webHidden/>
                  <w:sz w:val="20"/>
                  <w:szCs w:val="20"/>
                </w:rPr>
                <w:fldChar w:fldCharType="separate"/>
              </w:r>
              <w:r w:rsidR="00482F23">
                <w:rPr>
                  <w:rFonts w:ascii="Arial" w:hAnsi="Arial" w:cs="Arial"/>
                  <w:noProof/>
                  <w:webHidden/>
                  <w:sz w:val="20"/>
                  <w:szCs w:val="20"/>
                </w:rPr>
                <w:t>6</w:t>
              </w:r>
              <w:r w:rsidRPr="00491587">
                <w:rPr>
                  <w:rFonts w:ascii="Arial" w:hAnsi="Arial" w:cs="Arial"/>
                  <w:noProof/>
                  <w:webHidden/>
                  <w:sz w:val="20"/>
                  <w:szCs w:val="20"/>
                </w:rPr>
                <w:fldChar w:fldCharType="end"/>
              </w:r>
            </w:hyperlink>
          </w:p>
          <w:p w:rsidR="00491587" w:rsidRPr="00491587" w:rsidRDefault="00491587" w:rsidP="00491587">
            <w:pPr>
              <w:pStyle w:val="TM2"/>
              <w:tabs>
                <w:tab w:val="right" w:leader="dot" w:pos="8820"/>
              </w:tabs>
              <w:spacing w:before="40"/>
              <w:ind w:left="238"/>
              <w:rPr>
                <w:rFonts w:ascii="Arial" w:hAnsi="Arial" w:cs="Arial"/>
                <w:noProof/>
                <w:sz w:val="20"/>
                <w:szCs w:val="20"/>
              </w:rPr>
            </w:pPr>
            <w:hyperlink w:anchor="_Toc197502468" w:history="1">
              <w:r w:rsidRPr="00491587">
                <w:rPr>
                  <w:rStyle w:val="Lienhypertexte"/>
                  <w:rFonts w:ascii="Arial" w:hAnsi="Arial" w:cs="Arial"/>
                  <w:noProof/>
                  <w:sz w:val="20"/>
                  <w:szCs w:val="20"/>
                </w:rPr>
                <w:t>Conclusion</w:t>
              </w:r>
              <w:r w:rsidRPr="00491587">
                <w:rPr>
                  <w:rFonts w:ascii="Arial" w:hAnsi="Arial" w:cs="Arial"/>
                  <w:noProof/>
                  <w:webHidden/>
                  <w:sz w:val="20"/>
                  <w:szCs w:val="20"/>
                </w:rPr>
                <w:tab/>
              </w:r>
              <w:r w:rsidRPr="00491587">
                <w:rPr>
                  <w:rFonts w:ascii="Arial" w:hAnsi="Arial" w:cs="Arial"/>
                  <w:noProof/>
                  <w:webHidden/>
                  <w:sz w:val="20"/>
                  <w:szCs w:val="20"/>
                </w:rPr>
                <w:fldChar w:fldCharType="begin"/>
              </w:r>
              <w:r w:rsidRPr="00491587">
                <w:rPr>
                  <w:rFonts w:ascii="Arial" w:hAnsi="Arial" w:cs="Arial"/>
                  <w:noProof/>
                  <w:webHidden/>
                  <w:sz w:val="20"/>
                  <w:szCs w:val="20"/>
                </w:rPr>
                <w:instrText xml:space="preserve"> PAGEREF _Toc197502468 \h </w:instrText>
              </w:r>
              <w:r w:rsidR="00161952" w:rsidRPr="00482F23">
                <w:rPr>
                  <w:rFonts w:ascii="Arial" w:hAnsi="Arial" w:cs="Arial"/>
                  <w:noProof/>
                  <w:sz w:val="20"/>
                  <w:szCs w:val="20"/>
                </w:rPr>
              </w:r>
              <w:r w:rsidRPr="00491587">
                <w:rPr>
                  <w:rFonts w:ascii="Arial" w:hAnsi="Arial" w:cs="Arial"/>
                  <w:noProof/>
                  <w:webHidden/>
                  <w:sz w:val="20"/>
                  <w:szCs w:val="20"/>
                </w:rPr>
                <w:fldChar w:fldCharType="separate"/>
              </w:r>
              <w:r w:rsidR="00482F23">
                <w:rPr>
                  <w:rFonts w:ascii="Arial" w:hAnsi="Arial" w:cs="Arial"/>
                  <w:noProof/>
                  <w:webHidden/>
                  <w:sz w:val="20"/>
                  <w:szCs w:val="20"/>
                </w:rPr>
                <w:t>8</w:t>
              </w:r>
              <w:r w:rsidRPr="00491587">
                <w:rPr>
                  <w:rFonts w:ascii="Arial" w:hAnsi="Arial" w:cs="Arial"/>
                  <w:noProof/>
                  <w:webHidden/>
                  <w:sz w:val="20"/>
                  <w:szCs w:val="20"/>
                </w:rPr>
                <w:fldChar w:fldCharType="end"/>
              </w:r>
            </w:hyperlink>
          </w:p>
          <w:p w:rsidR="00491587" w:rsidRPr="00491587" w:rsidRDefault="00491587" w:rsidP="00491587">
            <w:pPr>
              <w:pStyle w:val="TM2"/>
              <w:tabs>
                <w:tab w:val="right" w:leader="dot" w:pos="8820"/>
              </w:tabs>
              <w:spacing w:before="40"/>
              <w:ind w:left="238"/>
              <w:rPr>
                <w:rFonts w:ascii="Arial" w:hAnsi="Arial" w:cs="Arial"/>
                <w:noProof/>
                <w:sz w:val="20"/>
                <w:szCs w:val="20"/>
              </w:rPr>
            </w:pPr>
            <w:hyperlink w:anchor="_Toc197502469" w:history="1">
              <w:r w:rsidRPr="00491587">
                <w:rPr>
                  <w:rStyle w:val="Lienhypertexte"/>
                  <w:rFonts w:ascii="Arial" w:hAnsi="Arial" w:cs="Arial"/>
                  <w:noProof/>
                  <w:sz w:val="20"/>
                  <w:szCs w:val="20"/>
                </w:rPr>
                <w:t>QUELQUES PROPOSITIONS</w:t>
              </w:r>
              <w:r w:rsidRPr="00491587">
                <w:rPr>
                  <w:rFonts w:ascii="Arial" w:hAnsi="Arial" w:cs="Arial"/>
                  <w:noProof/>
                  <w:webHidden/>
                  <w:sz w:val="20"/>
                  <w:szCs w:val="20"/>
                </w:rPr>
                <w:tab/>
              </w:r>
              <w:r w:rsidRPr="00491587">
                <w:rPr>
                  <w:rFonts w:ascii="Arial" w:hAnsi="Arial" w:cs="Arial"/>
                  <w:noProof/>
                  <w:webHidden/>
                  <w:sz w:val="20"/>
                  <w:szCs w:val="20"/>
                </w:rPr>
                <w:fldChar w:fldCharType="begin"/>
              </w:r>
              <w:r w:rsidRPr="00491587">
                <w:rPr>
                  <w:rFonts w:ascii="Arial" w:hAnsi="Arial" w:cs="Arial"/>
                  <w:noProof/>
                  <w:webHidden/>
                  <w:sz w:val="20"/>
                  <w:szCs w:val="20"/>
                </w:rPr>
                <w:instrText xml:space="preserve"> PAGEREF _Toc197502469 \h </w:instrText>
              </w:r>
              <w:r w:rsidR="00161952" w:rsidRPr="00482F23">
                <w:rPr>
                  <w:rFonts w:ascii="Arial" w:hAnsi="Arial" w:cs="Arial"/>
                  <w:noProof/>
                  <w:sz w:val="20"/>
                  <w:szCs w:val="20"/>
                </w:rPr>
              </w:r>
              <w:r w:rsidRPr="00491587">
                <w:rPr>
                  <w:rFonts w:ascii="Arial" w:hAnsi="Arial" w:cs="Arial"/>
                  <w:noProof/>
                  <w:webHidden/>
                  <w:sz w:val="20"/>
                  <w:szCs w:val="20"/>
                </w:rPr>
                <w:fldChar w:fldCharType="separate"/>
              </w:r>
              <w:r w:rsidR="00482F23">
                <w:rPr>
                  <w:rFonts w:ascii="Arial" w:hAnsi="Arial" w:cs="Arial"/>
                  <w:noProof/>
                  <w:webHidden/>
                  <w:sz w:val="20"/>
                  <w:szCs w:val="20"/>
                </w:rPr>
                <w:t>9</w:t>
              </w:r>
              <w:r w:rsidRPr="00491587">
                <w:rPr>
                  <w:rFonts w:ascii="Arial" w:hAnsi="Arial" w:cs="Arial"/>
                  <w:noProof/>
                  <w:webHidden/>
                  <w:sz w:val="20"/>
                  <w:szCs w:val="20"/>
                </w:rPr>
                <w:fldChar w:fldCharType="end"/>
              </w:r>
            </w:hyperlink>
          </w:p>
          <w:p w:rsidR="00491587" w:rsidRPr="00491587" w:rsidRDefault="00491587" w:rsidP="00491587">
            <w:pPr>
              <w:pStyle w:val="TM2"/>
              <w:tabs>
                <w:tab w:val="right" w:leader="dot" w:pos="8820"/>
              </w:tabs>
              <w:spacing w:before="40"/>
              <w:ind w:left="238"/>
              <w:rPr>
                <w:rFonts w:ascii="Arial" w:hAnsi="Arial" w:cs="Arial"/>
                <w:noProof/>
                <w:sz w:val="20"/>
                <w:szCs w:val="20"/>
              </w:rPr>
            </w:pPr>
            <w:hyperlink w:anchor="_Toc197502470" w:history="1">
              <w:r w:rsidRPr="00491587">
                <w:rPr>
                  <w:rStyle w:val="Lienhypertexte"/>
                  <w:rFonts w:ascii="Arial" w:hAnsi="Arial" w:cs="Arial"/>
                  <w:noProof/>
                  <w:sz w:val="20"/>
                  <w:szCs w:val="20"/>
                </w:rPr>
                <w:t>Bibliographie</w:t>
              </w:r>
              <w:r w:rsidRPr="00491587">
                <w:rPr>
                  <w:rFonts w:ascii="Arial" w:hAnsi="Arial" w:cs="Arial"/>
                  <w:noProof/>
                  <w:webHidden/>
                  <w:sz w:val="20"/>
                  <w:szCs w:val="20"/>
                </w:rPr>
                <w:tab/>
              </w:r>
              <w:r w:rsidRPr="00491587">
                <w:rPr>
                  <w:rFonts w:ascii="Arial" w:hAnsi="Arial" w:cs="Arial"/>
                  <w:noProof/>
                  <w:webHidden/>
                  <w:sz w:val="20"/>
                  <w:szCs w:val="20"/>
                </w:rPr>
                <w:fldChar w:fldCharType="begin"/>
              </w:r>
              <w:r w:rsidRPr="00491587">
                <w:rPr>
                  <w:rFonts w:ascii="Arial" w:hAnsi="Arial" w:cs="Arial"/>
                  <w:noProof/>
                  <w:webHidden/>
                  <w:sz w:val="20"/>
                  <w:szCs w:val="20"/>
                </w:rPr>
                <w:instrText xml:space="preserve"> PAGEREF _Toc197502470 \h </w:instrText>
              </w:r>
              <w:r w:rsidR="00161952" w:rsidRPr="00482F23">
                <w:rPr>
                  <w:rFonts w:ascii="Arial" w:hAnsi="Arial" w:cs="Arial"/>
                  <w:noProof/>
                  <w:sz w:val="20"/>
                  <w:szCs w:val="20"/>
                </w:rPr>
              </w:r>
              <w:r w:rsidRPr="00491587">
                <w:rPr>
                  <w:rFonts w:ascii="Arial" w:hAnsi="Arial" w:cs="Arial"/>
                  <w:noProof/>
                  <w:webHidden/>
                  <w:sz w:val="20"/>
                  <w:szCs w:val="20"/>
                </w:rPr>
                <w:fldChar w:fldCharType="separate"/>
              </w:r>
              <w:r w:rsidR="00482F23">
                <w:rPr>
                  <w:rFonts w:ascii="Arial" w:hAnsi="Arial" w:cs="Arial"/>
                  <w:noProof/>
                  <w:webHidden/>
                  <w:sz w:val="20"/>
                  <w:szCs w:val="20"/>
                </w:rPr>
                <w:t>10</w:t>
              </w:r>
              <w:r w:rsidRPr="00491587">
                <w:rPr>
                  <w:rFonts w:ascii="Arial" w:hAnsi="Arial" w:cs="Arial"/>
                  <w:noProof/>
                  <w:webHidden/>
                  <w:sz w:val="20"/>
                  <w:szCs w:val="20"/>
                </w:rPr>
                <w:fldChar w:fldCharType="end"/>
              </w:r>
            </w:hyperlink>
          </w:p>
          <w:p w:rsidR="00491587" w:rsidRDefault="00491587" w:rsidP="0068794F">
            <w:pPr>
              <w:spacing w:before="120"/>
              <w:rPr>
                <w:b/>
                <w:bCs/>
                <w:sz w:val="28"/>
                <w:szCs w:val="28"/>
              </w:rPr>
            </w:pPr>
            <w:r>
              <w:rPr>
                <w:b/>
                <w:bCs/>
                <w:sz w:val="28"/>
                <w:szCs w:val="28"/>
              </w:rPr>
              <w:fldChar w:fldCharType="end"/>
            </w:r>
          </w:p>
        </w:tc>
      </w:tr>
    </w:tbl>
    <w:p w:rsidR="00491587" w:rsidRPr="00082B01" w:rsidRDefault="00491587" w:rsidP="0068794F">
      <w:pPr>
        <w:spacing w:before="120"/>
        <w:rPr>
          <w:b/>
          <w:bCs/>
          <w:sz w:val="28"/>
          <w:szCs w:val="28"/>
        </w:rPr>
      </w:pPr>
    </w:p>
    <w:p w:rsidR="00666CF9" w:rsidRPr="00082B01" w:rsidRDefault="00666CF9" w:rsidP="00666CF9">
      <w:pPr>
        <w:pStyle w:val="Titre2"/>
        <w:spacing w:before="360"/>
        <w:ind w:left="360"/>
        <w:rPr>
          <w:i w:val="0"/>
          <w:sz w:val="24"/>
          <w:szCs w:val="24"/>
        </w:rPr>
      </w:pPr>
      <w:bookmarkStart w:id="4" w:name="_Toc197502462"/>
      <w:r w:rsidRPr="00082B01">
        <w:rPr>
          <w:i w:val="0"/>
          <w:sz w:val="24"/>
          <w:szCs w:val="24"/>
        </w:rPr>
        <w:t>SYNTHESE</w:t>
      </w:r>
      <w:bookmarkEnd w:id="4"/>
    </w:p>
    <w:p w:rsidR="00666CF9" w:rsidRPr="00082B01" w:rsidRDefault="00666CF9" w:rsidP="00666CF9">
      <w:pPr>
        <w:spacing w:before="120"/>
        <w:jc w:val="both"/>
      </w:pPr>
      <w:r w:rsidRPr="00082B01">
        <w:t>De nombreux  migrants choisissant l’Europe sont faiblement ou non scolarisés dans leurs pays d’origine. Ils sont analphabètes ou analphabètes fonctionnels selon la terminologie de l’UNESCO, c’est-à-dire qu’ils ne savent ni lire ni écrire aucune langue que ce soit ou bien qu’ils n’ont qu’une maîtrise superficielle de l’écrit. C’est le cas des ressortissants des pays dits émergent ou en difficultés économiques mais ce problème concerne aussi, à un moindre degré, les pays développés. Ces migrants sont issus de sociétés, de groupes sociaux ou communautaires de tradition orale. L’écrit n’est pas complètement absent de leur environnement social et culturel mais ils n’y ont pas ou peu recours. Leur arrivée dans les sociétés sur-bureaucratisées d’Europe provoque un choc culturel dans la mesure où les rapports transactionnels (institutions, consommation, citoyenneté, etc.) mais aussi parfois personnels (SMS, mails…) passent par l’écrit. L’écrit est plus qu’un moyen de communication : c’est un regard sur le monde, une façon d’appréhender et de comprendre la réalité. Ainsi, les outils écrits que nous utilisons de façon quotidienne (annuaire téléphonique, agenda, plan), posent parfois des problèmes insurmontables aux personnes faiblement ou non scolarisées. Ces outils ne sont pas des aides pour les migrants faiblement scolarisés mais des représentations et des reconstructions graphiques et abstraites de la réalité qu’ils perçoivent et vivent par l’expérience pratique et l’oral.</w:t>
      </w:r>
    </w:p>
    <w:p w:rsidR="00666CF9" w:rsidRPr="00082B01" w:rsidRDefault="00666CF9" w:rsidP="0068794F">
      <w:pPr>
        <w:spacing w:before="120"/>
        <w:rPr>
          <w:b/>
          <w:bCs/>
          <w:sz w:val="28"/>
          <w:szCs w:val="28"/>
        </w:rPr>
      </w:pPr>
    </w:p>
    <w:p w:rsidR="00666CF9" w:rsidRPr="00082B01" w:rsidRDefault="00491587" w:rsidP="00666CF9">
      <w:pPr>
        <w:pStyle w:val="Titre2"/>
        <w:spacing w:before="360"/>
        <w:ind w:left="360"/>
        <w:rPr>
          <w:i w:val="0"/>
          <w:sz w:val="24"/>
          <w:szCs w:val="24"/>
        </w:rPr>
      </w:pPr>
      <w:bookmarkStart w:id="5" w:name="_Toc197502463"/>
      <w:r>
        <w:rPr>
          <w:i w:val="0"/>
          <w:sz w:val="24"/>
          <w:szCs w:val="24"/>
        </w:rPr>
        <w:br w:type="page"/>
      </w:r>
      <w:r w:rsidR="00666CF9" w:rsidRPr="00082B01">
        <w:rPr>
          <w:i w:val="0"/>
          <w:sz w:val="24"/>
          <w:szCs w:val="24"/>
        </w:rPr>
        <w:lastRenderedPageBreak/>
        <w:t>Introduction</w:t>
      </w:r>
      <w:bookmarkEnd w:id="5"/>
    </w:p>
    <w:p w:rsidR="00D05B48" w:rsidRPr="00082B01" w:rsidRDefault="001551C2" w:rsidP="0068794F">
      <w:pPr>
        <w:spacing w:before="120"/>
        <w:jc w:val="both"/>
      </w:pPr>
      <w:r w:rsidRPr="00082B01">
        <w:t xml:space="preserve">Il nous semble, avant d’aborder notre sujet, qu’une mise au point préalable est nécessaire. Il est bien question ici des </w:t>
      </w:r>
      <w:r w:rsidRPr="00082B01">
        <w:rPr>
          <w:i/>
          <w:iCs/>
        </w:rPr>
        <w:t>migrants</w:t>
      </w:r>
      <w:r w:rsidRPr="00082B01">
        <w:t xml:space="preserve"> et donc de personnes qui se sont déplacées, qui ont émigré</w:t>
      </w:r>
      <w:r w:rsidR="00CE2F2F" w:rsidRPr="00082B01">
        <w:t>,</w:t>
      </w:r>
      <w:r w:rsidRPr="00082B01">
        <w:t xml:space="preserve"> ou immigré, selon le point de vue de celui qui en pa</w:t>
      </w:r>
      <w:r w:rsidR="007717AD" w:rsidRPr="00082B01">
        <w:t>rle. Ceci  signifie que leurs enfants,  nés dans le pays</w:t>
      </w:r>
      <w:r w:rsidR="00CE2F2F" w:rsidRPr="00082B01">
        <w:t xml:space="preserve"> d’accueil, ne sont pas</w:t>
      </w:r>
      <w:r w:rsidR="007717AD" w:rsidRPr="00082B01">
        <w:t xml:space="preserve"> des immigrés.</w:t>
      </w:r>
      <w:r w:rsidR="005F2893" w:rsidRPr="00082B01">
        <w:t xml:space="preserve"> Continuer à les désigner comme tels revient </w:t>
      </w:r>
      <w:r w:rsidR="00597D20" w:rsidRPr="00082B01">
        <w:t>à enfermer des individus</w:t>
      </w:r>
      <w:r w:rsidR="00AA236B" w:rsidRPr="00082B01">
        <w:t xml:space="preserve"> dans des catégories prédé</w:t>
      </w:r>
      <w:r w:rsidR="00CE2F2F" w:rsidRPr="00082B01">
        <w:t xml:space="preserve">finies qui ne correspondent pas aux réalités familiales, </w:t>
      </w:r>
      <w:r w:rsidR="005F2893" w:rsidRPr="00082B01">
        <w:t>sociales ou culturelles que les migrants</w:t>
      </w:r>
      <w:r w:rsidR="00CE2F2F" w:rsidRPr="00082B01">
        <w:t xml:space="preserve"> vivent</w:t>
      </w:r>
      <w:r w:rsidR="00AA236B" w:rsidRPr="00082B01">
        <w:t xml:space="preserve">. </w:t>
      </w:r>
      <w:r w:rsidR="005F2893" w:rsidRPr="00082B01">
        <w:t xml:space="preserve">Ceci contribue aussi </w:t>
      </w:r>
      <w:r w:rsidR="00597D20" w:rsidRPr="00082B01">
        <w:t xml:space="preserve"> à opacifier la réalité et à entretenir</w:t>
      </w:r>
      <w:r w:rsidR="00776DA5" w:rsidRPr="00082B01">
        <w:t xml:space="preserve"> l’idée que l’immigration est non seulement un « probl</w:t>
      </w:r>
      <w:r w:rsidR="00597D20" w:rsidRPr="00082B01">
        <w:t>ème » mais qu’elle</w:t>
      </w:r>
      <w:r w:rsidR="00CE2F2F" w:rsidRPr="00082B01">
        <w:t xml:space="preserve"> le demeure</w:t>
      </w:r>
      <w:r w:rsidR="00776DA5" w:rsidRPr="00082B01">
        <w:t xml:space="preserve"> après </w:t>
      </w:r>
      <w:r w:rsidR="00CE2F2F" w:rsidRPr="00082B01">
        <w:t xml:space="preserve">plusieurs </w:t>
      </w:r>
      <w:r w:rsidR="00776DA5" w:rsidRPr="00082B01">
        <w:t>générations. Les jeunes dont les parents ou les grands-parents sont</w:t>
      </w:r>
      <w:r w:rsidR="00AD6F4C" w:rsidRPr="00082B01">
        <w:t xml:space="preserve"> immigrés rencontrent encore</w:t>
      </w:r>
      <w:r w:rsidR="00776DA5" w:rsidRPr="00082B01">
        <w:t xml:space="preserve"> des </w:t>
      </w:r>
      <w:r w:rsidR="00AD6F4C" w:rsidRPr="00082B01">
        <w:t>difficultés</w:t>
      </w:r>
      <w:r w:rsidR="00776DA5" w:rsidRPr="00082B01">
        <w:t xml:space="preserve"> </w:t>
      </w:r>
      <w:r w:rsidR="00AD6F4C" w:rsidRPr="00082B01">
        <w:t>en raison de leurs origines familiales mais ces difficultés relèvent le plus souvent de la discrimination ou du racisme, c’est-à-dire du regard qui est porté sur eux. Mais c’est d’autant plus paradoxal et injustifié que ces personnes issues d</w:t>
      </w:r>
      <w:r w:rsidR="00C040A2" w:rsidRPr="00082B01">
        <w:t>e l’immigration sont intégrées</w:t>
      </w:r>
      <w:r w:rsidR="00AD6F4C" w:rsidRPr="00082B01">
        <w:t xml:space="preserve"> d’un point de vue linguisti</w:t>
      </w:r>
      <w:r w:rsidR="00CC116D" w:rsidRPr="00082B01">
        <w:t>que et culturel</w:t>
      </w:r>
      <w:r w:rsidR="00C040A2" w:rsidRPr="00082B01">
        <w:t>. L</w:t>
      </w:r>
      <w:r w:rsidR="005B07C8" w:rsidRPr="00082B01">
        <w:t>es difficultés qu</w:t>
      </w:r>
      <w:r w:rsidR="00C040A2" w:rsidRPr="00082B01">
        <w:t>’</w:t>
      </w:r>
      <w:r w:rsidR="005B07C8" w:rsidRPr="00082B01">
        <w:t>e</w:t>
      </w:r>
      <w:r w:rsidR="00C040A2" w:rsidRPr="00082B01">
        <w:t>lles</w:t>
      </w:r>
      <w:r w:rsidR="005B07C8" w:rsidRPr="00082B01">
        <w:t xml:space="preserve"> rencontrent sont </w:t>
      </w:r>
      <w:r w:rsidR="00666CF9" w:rsidRPr="00082B01">
        <w:t>en fait</w:t>
      </w:r>
      <w:r w:rsidR="00C040A2" w:rsidRPr="00082B01">
        <w:t xml:space="preserve"> </w:t>
      </w:r>
      <w:r w:rsidR="005B07C8" w:rsidRPr="00082B01">
        <w:t xml:space="preserve">les mêmes que celles que rencontrent les autres </w:t>
      </w:r>
      <w:r w:rsidR="0041741B" w:rsidRPr="00082B01">
        <w:t xml:space="preserve">personnes de même origine sociale. </w:t>
      </w:r>
      <w:r w:rsidR="00776DA5" w:rsidRPr="00082B01">
        <w:t>Il en est ainsi dans le domaine scol</w:t>
      </w:r>
      <w:r w:rsidR="00DD581A" w:rsidRPr="00082B01">
        <w:t xml:space="preserve">aire : </w:t>
      </w:r>
      <w:r w:rsidR="00776DA5" w:rsidRPr="00082B01">
        <w:t>l’échec scolaire n’est pas plus important, à origine sociale égale, pour les enfants d’immigrés q</w:t>
      </w:r>
      <w:r w:rsidR="00DD581A" w:rsidRPr="00082B01">
        <w:t>ue pour les autres</w:t>
      </w:r>
      <w:r w:rsidR="00EF37A3" w:rsidRPr="00082B01">
        <w:t>. Selon Vallet et Caille</w:t>
      </w:r>
      <w:r w:rsidR="003B49A9" w:rsidRPr="00082B01">
        <w:rPr>
          <w:rStyle w:val="Appelnotedebasdep"/>
        </w:rPr>
        <w:footnoteReference w:id="1"/>
      </w:r>
      <w:r w:rsidR="00EF37A3" w:rsidRPr="00082B01">
        <w:t xml:space="preserve"> (</w:t>
      </w:r>
      <w:r w:rsidR="00CE08ED" w:rsidRPr="00082B01">
        <w:t>1995)</w:t>
      </w:r>
      <w:r w:rsidR="00EF37A3" w:rsidRPr="00082B01">
        <w:t xml:space="preserve">, </w:t>
      </w:r>
      <w:r w:rsidR="007F4162" w:rsidRPr="00082B01">
        <w:t>le taux de réussite scolaire des enfants d’immigrés, toujours à origine sociale comparable, est même supérieur parce que l’investissement des familles dans le parcours scolaire de leurs enfants est plus important.</w:t>
      </w:r>
      <w:r w:rsidR="00EF37A3" w:rsidRPr="00082B01">
        <w:t xml:space="preserve"> </w:t>
      </w:r>
      <w:r w:rsidR="004A7519" w:rsidRPr="00082B01">
        <w:t xml:space="preserve"> </w:t>
      </w:r>
      <w:r w:rsidR="0041741B" w:rsidRPr="00082B01">
        <w:t xml:space="preserve">De la même façon, les </w:t>
      </w:r>
      <w:r w:rsidR="004A7519" w:rsidRPr="00082B01">
        <w:t>inégalité</w:t>
      </w:r>
      <w:r w:rsidR="0041741B" w:rsidRPr="00082B01">
        <w:t>s en ce qui concerne l</w:t>
      </w:r>
      <w:r w:rsidR="004A7519" w:rsidRPr="00082B01">
        <w:t>’accès  aux grandes écoles ou aux filières prestigieuses</w:t>
      </w:r>
      <w:r w:rsidR="0041741B" w:rsidRPr="00082B01">
        <w:t xml:space="preserve"> par exemple,</w:t>
      </w:r>
      <w:r w:rsidR="004A7519" w:rsidRPr="00082B01">
        <w:t xml:space="preserve"> ne concerne</w:t>
      </w:r>
      <w:r w:rsidR="00C040A2" w:rsidRPr="00082B01">
        <w:t>nt</w:t>
      </w:r>
      <w:r w:rsidR="004A7519" w:rsidRPr="00082B01">
        <w:t xml:space="preserve"> pas spécifiquement les enfants d’immigrés mais</w:t>
      </w:r>
      <w:r w:rsidR="0041741B" w:rsidRPr="00082B01">
        <w:t>,</w:t>
      </w:r>
      <w:r w:rsidR="004A7519" w:rsidRPr="00082B01">
        <w:t xml:space="preserve"> de façon plus générale</w:t>
      </w:r>
      <w:r w:rsidR="00DD581A" w:rsidRPr="00082B01">
        <w:t>,</w:t>
      </w:r>
      <w:r w:rsidR="004A7519" w:rsidRPr="00082B01">
        <w:t xml:space="preserve"> les enfants issus des milieux populaire</w:t>
      </w:r>
      <w:r w:rsidR="00C040A2" w:rsidRPr="00082B01">
        <w:t>s</w:t>
      </w:r>
      <w:r w:rsidR="004A7519" w:rsidRPr="00082B01">
        <w:t xml:space="preserve"> : le nombre d’élèves d’origine immigrée </w:t>
      </w:r>
      <w:r w:rsidR="005B42B6" w:rsidRPr="00082B01">
        <w:t xml:space="preserve">y </w:t>
      </w:r>
      <w:r w:rsidR="0041741B" w:rsidRPr="00082B01">
        <w:t>est aussi ridiculement</w:t>
      </w:r>
      <w:r w:rsidR="004A7519" w:rsidRPr="00082B01">
        <w:t xml:space="preserve"> bas que celui des élèves d’origine ouvrière.</w:t>
      </w:r>
      <w:r w:rsidR="005B42B6" w:rsidRPr="00082B01">
        <w:t xml:space="preserve"> </w:t>
      </w:r>
      <w:r w:rsidR="0041741B" w:rsidRPr="00082B01">
        <w:t>Cet effet discriminatoire est accentué parce les enfants d’immigrés sont aussi, très souvent, des enfants d’origine ouvrière ou populaire.</w:t>
      </w:r>
    </w:p>
    <w:p w:rsidR="00094248" w:rsidRPr="00082B01" w:rsidRDefault="00597D20" w:rsidP="0068794F">
      <w:pPr>
        <w:spacing w:before="120"/>
        <w:jc w:val="both"/>
      </w:pPr>
      <w:r w:rsidRPr="00082B01">
        <w:t>Quant</w:t>
      </w:r>
      <w:r w:rsidR="001647BD" w:rsidRPr="00082B01">
        <w:t xml:space="preserve"> </w:t>
      </w:r>
      <w:r w:rsidRPr="00082B01">
        <w:t xml:space="preserve">aux </w:t>
      </w:r>
      <w:r w:rsidR="005F2893" w:rsidRPr="00082B01">
        <w:t xml:space="preserve">jeunes migrants intégrés dans le système scolaire du pays d’accueil et </w:t>
      </w:r>
      <w:r w:rsidR="00AB3AD3" w:rsidRPr="00082B01">
        <w:t xml:space="preserve">faiblement scolarisés dans leurs pays d’origine,  </w:t>
      </w:r>
      <w:r w:rsidRPr="00082B01">
        <w:t>ils entrent</w:t>
      </w:r>
      <w:r w:rsidR="00AB3AD3" w:rsidRPr="00082B01">
        <w:t xml:space="preserve"> dans un proc</w:t>
      </w:r>
      <w:r w:rsidRPr="00082B01">
        <w:t>essus de scolarisation</w:t>
      </w:r>
      <w:r w:rsidR="00AB3AD3" w:rsidRPr="00082B01">
        <w:t xml:space="preserve"> qui va modifier totalement ou en partie</w:t>
      </w:r>
      <w:r w:rsidRPr="00082B01">
        <w:t>,</w:t>
      </w:r>
      <w:r w:rsidR="00AB3AD3" w:rsidRPr="00082B01">
        <w:t xml:space="preserve"> selon l’âge auquel ils sont intégrés dans le cursus scolaire, leurs rapports à l’écrit, à la réalit</w:t>
      </w:r>
      <w:r w:rsidRPr="00082B01">
        <w:t>é et au savoir.</w:t>
      </w:r>
      <w:r w:rsidR="007F4162" w:rsidRPr="00082B01">
        <w:t xml:space="preserve"> Ils sont certes des migrants dans le sens où ils </w:t>
      </w:r>
      <w:r w:rsidR="00666CF9" w:rsidRPr="00082B01">
        <w:t xml:space="preserve">sont </w:t>
      </w:r>
      <w:r w:rsidR="007F4162" w:rsidRPr="00082B01">
        <w:t>nés étrangers dans un pays étranger mais lorsqu’ils arrivent très jeunes dans le pays d’accueil, leurs parcours scolaires ressemblent fort à ceux des enfants de migrants.</w:t>
      </w:r>
    </w:p>
    <w:p w:rsidR="00D3297F" w:rsidRPr="00082B01" w:rsidRDefault="00AB3AD3" w:rsidP="0068794F">
      <w:pPr>
        <w:spacing w:before="120"/>
        <w:jc w:val="both"/>
      </w:pPr>
      <w:r w:rsidRPr="00082B01">
        <w:t>Les migrants dont il va</w:t>
      </w:r>
      <w:r w:rsidR="005F2893" w:rsidRPr="00082B01">
        <w:t xml:space="preserve"> être question dans cette étude </w:t>
      </w:r>
      <w:r w:rsidRPr="00082B01">
        <w:t xml:space="preserve">sont donc </w:t>
      </w:r>
      <w:r w:rsidR="005F2893" w:rsidRPr="00082B01">
        <w:t xml:space="preserve">des personnes arrivées dans les pays d’accueil </w:t>
      </w:r>
      <w:r w:rsidRPr="00082B01">
        <w:t>à l’adolescence ou à l’âge adulte et qui n’</w:t>
      </w:r>
      <w:r w:rsidR="00F27087" w:rsidRPr="00082B01">
        <w:t xml:space="preserve">y </w:t>
      </w:r>
      <w:r w:rsidRPr="00082B01">
        <w:t xml:space="preserve">ont jamais </w:t>
      </w:r>
      <w:r w:rsidR="00597D20" w:rsidRPr="00082B01">
        <w:t xml:space="preserve">été </w:t>
      </w:r>
      <w:r w:rsidRPr="00082B01">
        <w:t>scolarisé</w:t>
      </w:r>
      <w:r w:rsidR="00597D20" w:rsidRPr="00082B01">
        <w:t>s</w:t>
      </w:r>
      <w:r w:rsidRPr="00082B01">
        <w:t>, ou</w:t>
      </w:r>
      <w:r w:rsidR="00597D20" w:rsidRPr="00082B01">
        <w:t xml:space="preserve"> au plus </w:t>
      </w:r>
      <w:r w:rsidRPr="00082B01">
        <w:t>quelques mois.</w:t>
      </w:r>
    </w:p>
    <w:p w:rsidR="00094248" w:rsidRPr="00082B01" w:rsidRDefault="00094248" w:rsidP="00666CF9">
      <w:pPr>
        <w:pStyle w:val="Titre2"/>
        <w:numPr>
          <w:ilvl w:val="0"/>
          <w:numId w:val="4"/>
        </w:numPr>
        <w:spacing w:before="360"/>
        <w:rPr>
          <w:i w:val="0"/>
          <w:sz w:val="24"/>
          <w:szCs w:val="24"/>
        </w:rPr>
      </w:pPr>
      <w:bookmarkStart w:id="6" w:name="_Toc197502464"/>
      <w:r w:rsidRPr="00082B01">
        <w:rPr>
          <w:i w:val="0"/>
          <w:sz w:val="24"/>
          <w:szCs w:val="24"/>
        </w:rPr>
        <w:t>La sco</w:t>
      </w:r>
      <w:r w:rsidR="00884B12" w:rsidRPr="00082B01">
        <w:rPr>
          <w:i w:val="0"/>
          <w:sz w:val="24"/>
          <w:szCs w:val="24"/>
        </w:rPr>
        <w:t>laris</w:t>
      </w:r>
      <w:r w:rsidR="00597D20" w:rsidRPr="00082B01">
        <w:rPr>
          <w:i w:val="0"/>
          <w:sz w:val="24"/>
          <w:szCs w:val="24"/>
        </w:rPr>
        <w:t>ation dans les pays d’origine</w:t>
      </w:r>
      <w:bookmarkEnd w:id="6"/>
    </w:p>
    <w:p w:rsidR="004F4504" w:rsidRPr="00082B01" w:rsidRDefault="00597D20" w:rsidP="0068794F">
      <w:pPr>
        <w:spacing w:before="120"/>
        <w:jc w:val="both"/>
      </w:pPr>
      <w:r w:rsidRPr="00082B01">
        <w:t>Certains</w:t>
      </w:r>
      <w:r w:rsidR="00D76E4D" w:rsidRPr="00082B01">
        <w:t xml:space="preserve"> migrants</w:t>
      </w:r>
      <w:r w:rsidR="00930F4C" w:rsidRPr="00082B01">
        <w:t xml:space="preserve"> sont</w:t>
      </w:r>
      <w:r w:rsidR="00EB5642" w:rsidRPr="00082B01">
        <w:t xml:space="preserve"> </w:t>
      </w:r>
      <w:r w:rsidR="00D76E4D" w:rsidRPr="00082B01">
        <w:t xml:space="preserve">originaires de pays dont </w:t>
      </w:r>
      <w:r w:rsidR="00E73CBE" w:rsidRPr="00082B01">
        <w:t>les institutions scolaires ne possèdent</w:t>
      </w:r>
      <w:r w:rsidR="00D76E4D" w:rsidRPr="00082B01">
        <w:t xml:space="preserve"> ni  l’expérience ni des moyens comparables à</w:t>
      </w:r>
      <w:r w:rsidR="00E73CBE" w:rsidRPr="00082B01">
        <w:t xml:space="preserve"> ceux des pays d’accueil.</w:t>
      </w:r>
      <w:r w:rsidR="00D76E4D" w:rsidRPr="00082B01">
        <w:t xml:space="preserve"> Les systèmes scolaires  mis en place après la décolonisation n’ont pas encore atteint un niveau d’efficacité suffisant pour répondre aux </w:t>
      </w:r>
      <w:r w:rsidR="00E73CBE" w:rsidRPr="00082B01">
        <w:t>besoins</w:t>
      </w:r>
      <w:r w:rsidR="00DD581A" w:rsidRPr="00082B01">
        <w:t xml:space="preserve"> des populations en termes</w:t>
      </w:r>
      <w:r w:rsidR="00D76E4D" w:rsidRPr="00082B01">
        <w:t xml:space="preserve"> d’alphabétisation, </w:t>
      </w:r>
      <w:r w:rsidR="00DD581A" w:rsidRPr="00082B01">
        <w:t>de formation et de qualification</w:t>
      </w:r>
      <w:r w:rsidR="00EE0D61" w:rsidRPr="00082B01">
        <w:t>. D’autre part, des problèmes récurrents entravent les progrès de l’alphabétisation : choix de la langue de scol</w:t>
      </w:r>
      <w:r w:rsidR="00930F4C" w:rsidRPr="00082B01">
        <w:t xml:space="preserve">arisation qui n’est </w:t>
      </w:r>
      <w:r w:rsidR="00EE0D61" w:rsidRPr="00082B01">
        <w:t xml:space="preserve"> pas la langue de la majorité des élèves (français</w:t>
      </w:r>
      <w:r w:rsidR="00EF37A3" w:rsidRPr="00082B01">
        <w:t>, anglais ou portugais</w:t>
      </w:r>
      <w:r w:rsidR="00EE0D61" w:rsidRPr="00082B01">
        <w:t xml:space="preserve"> en Afrique</w:t>
      </w:r>
      <w:r w:rsidR="00E73CBE" w:rsidRPr="00082B01">
        <w:t xml:space="preserve"> </w:t>
      </w:r>
      <w:r w:rsidR="00EF37A3" w:rsidRPr="00082B01">
        <w:t>Subsaharienne ou arabe standard</w:t>
      </w:r>
      <w:r w:rsidR="00EE0D61" w:rsidRPr="00082B01">
        <w:t xml:space="preserve"> en Afrique du </w:t>
      </w:r>
      <w:r w:rsidR="00EF37A3" w:rsidRPr="00082B01">
        <w:t>N</w:t>
      </w:r>
      <w:r w:rsidR="00930F4C" w:rsidRPr="00082B01">
        <w:t>ord par exemple), absence ou faiblesse d</w:t>
      </w:r>
      <w:r w:rsidR="00EB1E7E" w:rsidRPr="00082B01">
        <w:t>e</w:t>
      </w:r>
      <w:r w:rsidR="00930F4C" w:rsidRPr="00082B01">
        <w:t xml:space="preserve"> volonté politique</w:t>
      </w:r>
      <w:r w:rsidR="00EE0D61" w:rsidRPr="00082B01">
        <w:t>, moyens matériels et financiers</w:t>
      </w:r>
      <w:r w:rsidR="00DF3BF0" w:rsidRPr="00082B01">
        <w:t xml:space="preserve"> insuffisants</w:t>
      </w:r>
      <w:r w:rsidR="00930F4C" w:rsidRPr="00082B01">
        <w:t>,  indifférence</w:t>
      </w:r>
      <w:r w:rsidR="00EE0D61" w:rsidRPr="00082B01">
        <w:t xml:space="preserve"> des populations qui ne trouvent pas d’intérêt immédiat à l’alphabétisa</w:t>
      </w:r>
      <w:r w:rsidR="00DF3BF0" w:rsidRPr="00082B01">
        <w:t>tion, obstacles culturels et/ou religieux qui empêchent notamment une scolarisation massive des femmes, etc.</w:t>
      </w:r>
    </w:p>
    <w:p w:rsidR="00A32DC0" w:rsidRPr="00082B01" w:rsidRDefault="00DF3BF0" w:rsidP="0068794F">
      <w:pPr>
        <w:spacing w:before="120"/>
        <w:jc w:val="both"/>
      </w:pPr>
      <w:r w:rsidRPr="00082B01">
        <w:lastRenderedPageBreak/>
        <w:t>Les taux d</w:t>
      </w:r>
      <w:r w:rsidR="004F4504" w:rsidRPr="00082B01">
        <w:t xml:space="preserve">’analphabétisme </w:t>
      </w:r>
      <w:r w:rsidRPr="00082B01">
        <w:t xml:space="preserve">de certains pays d’origine des immigrés sont ainsi très </w:t>
      </w:r>
      <w:r w:rsidR="004F4504" w:rsidRPr="00082B01">
        <w:t>élevés</w:t>
      </w:r>
      <w:r w:rsidR="004F4504" w:rsidRPr="00082B01">
        <w:rPr>
          <w:rStyle w:val="Appelnotedebasdep"/>
        </w:rPr>
        <w:footnoteReference w:id="2"/>
      </w:r>
      <w:r w:rsidR="004F4504" w:rsidRPr="00082B01">
        <w:t xml:space="preserve"> </w:t>
      </w:r>
      <w:r w:rsidR="00341991" w:rsidRPr="00082B01">
        <w:t xml:space="preserve">et cachent </w:t>
      </w:r>
      <w:r w:rsidR="004F4504" w:rsidRPr="00082B01">
        <w:t xml:space="preserve"> sans doute une réalité </w:t>
      </w:r>
      <w:r w:rsidR="00341991" w:rsidRPr="00082B01">
        <w:t xml:space="preserve">encore </w:t>
      </w:r>
      <w:r w:rsidR="004F4504" w:rsidRPr="00082B01">
        <w:t xml:space="preserve">plus grave puisque les chiffres </w:t>
      </w:r>
      <w:r w:rsidR="00341991" w:rsidRPr="00082B01">
        <w:t>officiels ne sont pas calculés sur la base de compétences vérifiées en lecture et en écriture mais sur la base du taux de scolarisatio</w:t>
      </w:r>
      <w:r w:rsidR="00DD581A" w:rsidRPr="00082B01">
        <w:t>n : les personnes qui ont effectué leur</w:t>
      </w:r>
      <w:r w:rsidR="00341991" w:rsidRPr="00082B01">
        <w:t xml:space="preserve"> scolarit</w:t>
      </w:r>
      <w:r w:rsidR="00DD581A" w:rsidRPr="00082B01">
        <w:t>é obligatoire sont censé</w:t>
      </w:r>
      <w:r w:rsidR="003835FC" w:rsidRPr="00082B01">
        <w:t>e</w:t>
      </w:r>
      <w:r w:rsidR="00DD581A" w:rsidRPr="00082B01">
        <w:t>s être</w:t>
      </w:r>
      <w:r w:rsidR="00341991" w:rsidRPr="00082B01">
        <w:t xml:space="preserve"> alp</w:t>
      </w:r>
      <w:r w:rsidR="00DD581A" w:rsidRPr="00082B01">
        <w:t>habétisé</w:t>
      </w:r>
      <w:r w:rsidR="003835FC" w:rsidRPr="00082B01">
        <w:t>e</w:t>
      </w:r>
      <w:r w:rsidR="00DD581A" w:rsidRPr="00082B01">
        <w:t>s. Or, l’expérience  des pays développés</w:t>
      </w:r>
      <w:r w:rsidR="00341991" w:rsidRPr="00082B01">
        <w:t xml:space="preserve"> mon</w:t>
      </w:r>
      <w:r w:rsidR="000C06C5" w:rsidRPr="00082B01">
        <w:t xml:space="preserve">tre que même dans de bonnes </w:t>
      </w:r>
      <w:r w:rsidR="00341991" w:rsidRPr="00082B01">
        <w:t>conditions de scolarisation, une forme d’analphabé</w:t>
      </w:r>
      <w:r w:rsidR="007C2C2C" w:rsidRPr="00082B01">
        <w:t>tisme fonctionnel persiste</w:t>
      </w:r>
      <w:r w:rsidR="00341991" w:rsidRPr="00082B01">
        <w:t>.</w:t>
      </w:r>
      <w:r w:rsidR="000C06C5" w:rsidRPr="00082B01">
        <w:t xml:space="preserve"> L’enquête menée par l’OCDE (2000)</w:t>
      </w:r>
      <w:r w:rsidR="007E011C" w:rsidRPr="00082B01">
        <w:rPr>
          <w:rStyle w:val="Appelnotedebasdep"/>
        </w:rPr>
        <w:footnoteReference w:id="3"/>
      </w:r>
      <w:r w:rsidR="000C06C5" w:rsidRPr="00082B01">
        <w:t xml:space="preserve"> est éclairante à cet égard.</w:t>
      </w:r>
      <w:r w:rsidR="00573A2A" w:rsidRPr="00082B01">
        <w:t xml:space="preserve"> Elle montre que la maîtrise de l’écrit est loin d’</w:t>
      </w:r>
      <w:r w:rsidR="00EF37A3" w:rsidRPr="00082B01">
        <w:t>être une compétence acquise par</w:t>
      </w:r>
      <w:r w:rsidR="00573A2A" w:rsidRPr="00082B01">
        <w:t xml:space="preserve"> t</w:t>
      </w:r>
      <w:r w:rsidR="00EF37A3" w:rsidRPr="00082B01">
        <w:t>ous les citoyens, y compris par</w:t>
      </w:r>
      <w:r w:rsidR="00573A2A" w:rsidRPr="00082B01">
        <w:t xml:space="preserve"> ceux qui ont suivi une scolarité normale.  </w:t>
      </w:r>
      <w:r w:rsidR="00341991" w:rsidRPr="00082B01">
        <w:t>L</w:t>
      </w:r>
      <w:r w:rsidR="009832F9" w:rsidRPr="00082B01">
        <w:t>’analyse d</w:t>
      </w:r>
      <w:r w:rsidR="00341991" w:rsidRPr="00082B01">
        <w:t xml:space="preserve">es conditions parfois très difficiles de scolarisation des élèves en Afrique par exemple </w:t>
      </w:r>
      <w:r w:rsidR="0089097F" w:rsidRPr="00082B01">
        <w:t>invite donc à la prudence quant aux chiffres officiels.</w:t>
      </w:r>
      <w:r w:rsidR="00C27F7D" w:rsidRPr="00082B01">
        <w:t xml:space="preserve"> D’autre part, </w:t>
      </w:r>
      <w:r w:rsidR="00D77FC4" w:rsidRPr="00082B01">
        <w:t>la scolarisation obligatoire, quand elle est effectuée dans des conditions à peu près normales, correspond souvent au nive</w:t>
      </w:r>
      <w:r w:rsidR="00DD581A" w:rsidRPr="00082B01">
        <w:t>au de l’école primaire</w:t>
      </w:r>
      <w:r w:rsidR="00D77FC4" w:rsidRPr="00082B01">
        <w:t xml:space="preserve"> c’est-à-dire cinq </w:t>
      </w:r>
      <w:r w:rsidR="00DD581A" w:rsidRPr="00082B01">
        <w:t xml:space="preserve">ou six </w:t>
      </w:r>
      <w:r w:rsidR="00D77FC4" w:rsidRPr="00082B01">
        <w:t xml:space="preserve">ans pour apprendre à lire et à écrire. Là encore, quand on sait qu’à peu près 15 % des élèves qui passent des tests de lecture à l’entrée en sixième en </w:t>
      </w:r>
      <w:r w:rsidR="007F4162" w:rsidRPr="00082B01">
        <w:t>France par exemple</w:t>
      </w:r>
      <w:r w:rsidR="00D77FC4" w:rsidRPr="00082B01">
        <w:t xml:space="preserve"> présentent d’importantes difficultés, on peut aisément imaginer ce que donnerait le même test à la fin de la scolarité ob</w:t>
      </w:r>
      <w:r w:rsidR="00E73CBE" w:rsidRPr="00082B01">
        <w:t>ligatoire en Afrique</w:t>
      </w:r>
      <w:r w:rsidR="00D77FC4" w:rsidRPr="00082B01">
        <w:t xml:space="preserve">. </w:t>
      </w:r>
      <w:r w:rsidR="002214B5" w:rsidRPr="00082B01">
        <w:t>C’est d’ailleurs pour cette raison que l’UNESCO parle d’analphabétisme fonctionnel en opposant cette notion à analphabétisme : il s’agit dans le premier cas de personnes aya</w:t>
      </w:r>
      <w:r w:rsidR="003835FC" w:rsidRPr="00082B01">
        <w:t>nt suivi une scolarité et acquis</w:t>
      </w:r>
      <w:r w:rsidR="002214B5" w:rsidRPr="00082B01">
        <w:t xml:space="preserve"> les rudiments de la lecture et de l’écriture mais qui  ne parviennent </w:t>
      </w:r>
      <w:r w:rsidR="00E73CBE" w:rsidRPr="00082B01">
        <w:t xml:space="preserve">pas </w:t>
      </w:r>
      <w:r w:rsidR="002214B5" w:rsidRPr="00082B01">
        <w:t xml:space="preserve">à mettre </w:t>
      </w:r>
      <w:r w:rsidR="0011703E" w:rsidRPr="00082B01">
        <w:t xml:space="preserve">ces compétences </w:t>
      </w:r>
      <w:r w:rsidR="002214B5" w:rsidRPr="00082B01">
        <w:t xml:space="preserve">en œuvre dans les situations </w:t>
      </w:r>
      <w:r w:rsidR="00E73CBE" w:rsidRPr="00082B01">
        <w:t>courantes de la vie quotidienne.</w:t>
      </w:r>
      <w:r w:rsidR="00290570" w:rsidRPr="00082B01">
        <w:t xml:space="preserve"> </w:t>
      </w:r>
      <w:r w:rsidR="002214B5" w:rsidRPr="00082B01">
        <w:t xml:space="preserve">Si l’on </w:t>
      </w:r>
      <w:r w:rsidR="0011703E" w:rsidRPr="00082B01">
        <w:t xml:space="preserve">se </w:t>
      </w:r>
      <w:r w:rsidR="002214B5" w:rsidRPr="00082B01">
        <w:t>fie donc aux statistiques, un migrant ressortissant d’un pays d’Afrique subsaharienne ou  de la zone arabe a</w:t>
      </w:r>
      <w:r w:rsidR="00E73CBE" w:rsidRPr="00082B01">
        <w:t>,</w:t>
      </w:r>
      <w:r w:rsidR="002214B5" w:rsidRPr="00082B01">
        <w:t xml:space="preserve"> en moyenne</w:t>
      </w:r>
      <w:r w:rsidR="00290570" w:rsidRPr="00082B01">
        <w:rPr>
          <w:rStyle w:val="Appelnotedebasdep"/>
        </w:rPr>
        <w:footnoteReference w:id="4"/>
      </w:r>
      <w:r w:rsidR="00E73CBE" w:rsidRPr="00082B01">
        <w:t>,</w:t>
      </w:r>
      <w:r w:rsidR="002214B5" w:rsidRPr="00082B01">
        <w:t xml:space="preserve"> quatre chances sur dix d’être analphabète</w:t>
      </w:r>
      <w:r w:rsidR="00290570" w:rsidRPr="00082B01">
        <w:t xml:space="preserve"> et sans doute beaucoup plus d’être analphabète fonctionnel. </w:t>
      </w:r>
      <w:r w:rsidR="00EF37A3" w:rsidRPr="00082B01">
        <w:t xml:space="preserve">Mais les migrants ne représentent pas un échantillon de leur population et ces chiffres ne sont bien sûr pas directement transposables. </w:t>
      </w:r>
    </w:p>
    <w:p w:rsidR="005E5F5D" w:rsidRPr="00082B01" w:rsidRDefault="005E5F5D" w:rsidP="0068794F">
      <w:pPr>
        <w:spacing w:before="120"/>
        <w:jc w:val="both"/>
      </w:pPr>
      <w:r w:rsidRPr="00082B01">
        <w:t>De fait, les chiffres donnés pa</w:t>
      </w:r>
      <w:r w:rsidR="00BA0C60" w:rsidRPr="00082B01">
        <w:t xml:space="preserve">r l’Institut National pour les Statistiques et les Etudes Economiques (INSEE) pour </w:t>
      </w:r>
      <w:smartTag w:uri="urn:schemas-microsoft-com:office:smarttags" w:element="PersonName">
        <w:smartTagPr>
          <w:attr w:name="ProductID" w:val="la France"/>
        </w:smartTagPr>
        <w:r w:rsidR="00BA0C60" w:rsidRPr="00082B01">
          <w:t>la France</w:t>
        </w:r>
      </w:smartTag>
      <w:r w:rsidR="00BA0C60" w:rsidRPr="00082B01">
        <w:t xml:space="preserve"> par exemple </w:t>
      </w:r>
      <w:r w:rsidRPr="00082B01">
        <w:t xml:space="preserve">(Borrel, 2006) indiquent qu’une part très importante des migrants présents en France </w:t>
      </w:r>
      <w:r w:rsidR="00E73CBE" w:rsidRPr="00082B01">
        <w:t xml:space="preserve">pourrait </w:t>
      </w:r>
      <w:r w:rsidRPr="00082B01">
        <w:t>correspond</w:t>
      </w:r>
      <w:r w:rsidR="00E73CBE" w:rsidRPr="00082B01">
        <w:t>re</w:t>
      </w:r>
      <w:r w:rsidRPr="00082B01">
        <w:t xml:space="preserve"> à ce profil. En effet, plus de 40 % d’entre eux ne possèdent aucun dipl</w:t>
      </w:r>
      <w:r w:rsidR="00C34DD4" w:rsidRPr="00082B01">
        <w:t>ôme, ou en possède</w:t>
      </w:r>
      <w:r w:rsidR="003835FC" w:rsidRPr="00082B01">
        <w:t>nt</w:t>
      </w:r>
      <w:r w:rsidR="00C34DD4" w:rsidRPr="00082B01">
        <w:t xml:space="preserve"> un qui correspond au certificat d’études primaires</w:t>
      </w:r>
      <w:r w:rsidRPr="00082B01">
        <w:t xml:space="preserve">. Si l’on ajoute à ce nombre les migrants qui possèdent un diplôme </w:t>
      </w:r>
      <w:r w:rsidR="00C34DD4" w:rsidRPr="00082B01">
        <w:t>équivalent à</w:t>
      </w:r>
      <w:r w:rsidR="008538BA" w:rsidRPr="00082B01">
        <w:t xml:space="preserve"> un</w:t>
      </w:r>
      <w:r w:rsidR="00C34DD4" w:rsidRPr="00082B01">
        <w:t xml:space="preserve"> premier niveau de qualification professionnelle</w:t>
      </w:r>
      <w:r w:rsidR="008538BA" w:rsidRPr="00082B01">
        <w:t xml:space="preserve"> (CAP ou BEP)</w:t>
      </w:r>
      <w:r w:rsidR="00C34DD4" w:rsidRPr="00082B01">
        <w:t xml:space="preserve">, on </w:t>
      </w:r>
      <w:r w:rsidR="003835FC" w:rsidRPr="00082B01">
        <w:t>atteint un nombre</w:t>
      </w:r>
      <w:r w:rsidR="008538BA" w:rsidRPr="00082B01">
        <w:t xml:space="preserve"> qui dépasse</w:t>
      </w:r>
      <w:r w:rsidR="00C34DD4" w:rsidRPr="00082B01">
        <w:t xml:space="preserve"> 60%</w:t>
      </w:r>
      <w:r w:rsidR="008538BA" w:rsidRPr="00082B01">
        <w:t>.</w:t>
      </w:r>
      <w:r w:rsidR="00DD581A" w:rsidRPr="00082B01">
        <w:t xml:space="preserve"> </w:t>
      </w:r>
      <w:r w:rsidR="00C34DD4" w:rsidRPr="00082B01">
        <w:t>Ceux qui nous intéressent en premier lieu sont ceux qui ne possèdent aucun diplôme : cette absence de certification scolaire n’induit pas forcément un problème d’analphabétisme ou d’analphabétisme fonctionnel mais elle en augmente les probabilités. En tous cas, même si la proportion de migrants sans diplôme a régressé depuis les années 80 et si celle des personnes possédant un diplôme universitaire a augmenté, il ne s’agit pas d’une question marginale.</w:t>
      </w:r>
      <w:r w:rsidR="00642815" w:rsidRPr="00082B01">
        <w:t xml:space="preserve"> Par ailleurs, ces chiffres n’entrent pas dans le détail des origines nationales. Des données par pays d’origine sur la possession de diplômes indiqueraient sans doute de très fortes disparités e</w:t>
      </w:r>
      <w:r w:rsidR="003B49A9" w:rsidRPr="00082B01">
        <w:t>ntre par exemple les Africains et les E</w:t>
      </w:r>
      <w:r w:rsidR="00642815" w:rsidRPr="00082B01">
        <w:t xml:space="preserve">uropéens. </w:t>
      </w:r>
    </w:p>
    <w:p w:rsidR="00D3297F" w:rsidRPr="00082B01" w:rsidRDefault="00642815" w:rsidP="0068794F">
      <w:pPr>
        <w:spacing w:before="120"/>
        <w:jc w:val="both"/>
      </w:pPr>
      <w:r w:rsidRPr="00082B01">
        <w:lastRenderedPageBreak/>
        <w:t>Cette situation entraîne</w:t>
      </w:r>
      <w:r w:rsidR="00D3297F" w:rsidRPr="00082B01">
        <w:t xml:space="preserve"> un débat politique passionné</w:t>
      </w:r>
      <w:r w:rsidR="00916499" w:rsidRPr="00082B01">
        <w:t xml:space="preserve"> </w:t>
      </w:r>
      <w:r w:rsidR="00D3297F" w:rsidRPr="00082B01">
        <w:t xml:space="preserve">: faut-il ou non </w:t>
      </w:r>
      <w:r w:rsidR="00916499" w:rsidRPr="00082B01">
        <w:t>« </w:t>
      </w:r>
      <w:r w:rsidR="00D3297F" w:rsidRPr="00082B01">
        <w:t>choisir</w:t>
      </w:r>
      <w:r w:rsidR="00916499" w:rsidRPr="00082B01">
        <w:t> »</w:t>
      </w:r>
      <w:r w:rsidR="00D3297F" w:rsidRPr="00082B01">
        <w:t xml:space="preserve"> les migrants en fonction de leur nivea</w:t>
      </w:r>
      <w:r w:rsidR="00916499" w:rsidRPr="00082B01">
        <w:t>u de qualification ? T</w:t>
      </w:r>
      <w:r w:rsidR="00BA0C60" w:rsidRPr="00082B01">
        <w:t>raditionnellement, les pays développés de l’ouest de l’Europe ont</w:t>
      </w:r>
      <w:r w:rsidR="00930F4C" w:rsidRPr="00082B01">
        <w:t xml:space="preserve"> accueilli </w:t>
      </w:r>
      <w:r w:rsidR="00D3297F" w:rsidRPr="00082B01">
        <w:t xml:space="preserve">une immigration de main d’œuvre qui </w:t>
      </w:r>
      <w:r w:rsidR="00930F4C" w:rsidRPr="00082B01">
        <w:t xml:space="preserve">a </w:t>
      </w:r>
      <w:r w:rsidR="00916499" w:rsidRPr="00082B01">
        <w:t>aidé</w:t>
      </w:r>
      <w:r w:rsidR="00D3297F" w:rsidRPr="00082B01">
        <w:t xml:space="preserve"> </w:t>
      </w:r>
      <w:r w:rsidR="00BA0C60" w:rsidRPr="00082B01">
        <w:t>à la reconstruction</w:t>
      </w:r>
      <w:r w:rsidR="00562175" w:rsidRPr="00082B01">
        <w:t xml:space="preserve"> des deux Après-G</w:t>
      </w:r>
      <w:r w:rsidR="00D3297F" w:rsidRPr="00082B01">
        <w:t xml:space="preserve">uerre, qui </w:t>
      </w:r>
      <w:r w:rsidR="00930F4C" w:rsidRPr="00082B01">
        <w:t xml:space="preserve">a permis </w:t>
      </w:r>
      <w:r w:rsidR="0011703E" w:rsidRPr="00082B01">
        <w:t xml:space="preserve"> de faire fonctionner</w:t>
      </w:r>
      <w:r w:rsidR="0062747F" w:rsidRPr="00082B01">
        <w:t xml:space="preserve"> </w:t>
      </w:r>
      <w:r w:rsidR="00BA0C60" w:rsidRPr="00082B01">
        <w:t>l’industrie pendant la longue période de croissance des années 50 à 80</w:t>
      </w:r>
      <w:r w:rsidR="0091465F" w:rsidRPr="00082B01">
        <w:t>, qui</w:t>
      </w:r>
      <w:r w:rsidR="00930F4C" w:rsidRPr="00082B01">
        <w:t xml:space="preserve"> a occupé</w:t>
      </w:r>
      <w:r w:rsidR="003B49A9" w:rsidRPr="00082B01">
        <w:t xml:space="preserve"> les emplois dont les E</w:t>
      </w:r>
      <w:r w:rsidR="00BA0C60" w:rsidRPr="00082B01">
        <w:t>uropéens les</w:t>
      </w:r>
      <w:r w:rsidR="00930F4C" w:rsidRPr="00082B01">
        <w:t xml:space="preserve"> mieux formés et </w:t>
      </w:r>
      <w:r w:rsidR="00BA0C60" w:rsidRPr="00082B01">
        <w:t xml:space="preserve">les </w:t>
      </w:r>
      <w:r w:rsidR="00916499" w:rsidRPr="00082B01">
        <w:t xml:space="preserve">mieux </w:t>
      </w:r>
      <w:r w:rsidR="00930F4C" w:rsidRPr="00082B01">
        <w:t>qualifiés ne voulaient</w:t>
      </w:r>
      <w:r w:rsidR="0091465F" w:rsidRPr="00082B01">
        <w:t xml:space="preserve"> plus.</w:t>
      </w:r>
      <w:r w:rsidR="00060459" w:rsidRPr="00082B01">
        <w:t xml:space="preserve"> Avec </w:t>
      </w:r>
      <w:r w:rsidR="00930F4C" w:rsidRPr="00082B01">
        <w:t>l’immigration choisie</w:t>
      </w:r>
      <w:r w:rsidRPr="00082B01">
        <w:t xml:space="preserve">, les </w:t>
      </w:r>
      <w:r w:rsidR="00BA0C60" w:rsidRPr="00082B01">
        <w:t>gouvernements européens</w:t>
      </w:r>
      <w:r w:rsidR="00060459" w:rsidRPr="00082B01">
        <w:t xml:space="preserve"> pense</w:t>
      </w:r>
      <w:r w:rsidRPr="00082B01">
        <w:t>nt ainsi faciliter l’intégration future de ces nouveaux migrants</w:t>
      </w:r>
      <w:r w:rsidR="00060459" w:rsidRPr="00082B01">
        <w:t xml:space="preserve"> </w:t>
      </w:r>
      <w:r w:rsidRPr="00082B01">
        <w:t xml:space="preserve">parce qu’ils font le pari </w:t>
      </w:r>
      <w:r w:rsidR="00DD581A" w:rsidRPr="00082B01">
        <w:t>que des immigrés</w:t>
      </w:r>
      <w:r w:rsidR="00060459" w:rsidRPr="00082B01">
        <w:t xml:space="preserve"> éduqués, diplômés, appartenant à la classe moyenne ou à la bourgeoisie intellectuelle seraient moins différents, plus conformes au standard social </w:t>
      </w:r>
      <w:r w:rsidR="00916499" w:rsidRPr="00082B01">
        <w:t xml:space="preserve">dominant </w:t>
      </w:r>
      <w:r w:rsidR="00060459" w:rsidRPr="00082B01">
        <w:t>et donc plus « intégrables ». On voit bien q</w:t>
      </w:r>
      <w:r w:rsidRPr="00082B01">
        <w:t>u’il ne s’agit plus dans cette optique</w:t>
      </w:r>
      <w:r w:rsidR="00060459" w:rsidRPr="00082B01">
        <w:t xml:space="preserve"> de choisir les migrants en fonction de ce qu’ils</w:t>
      </w:r>
      <w:r w:rsidRPr="00082B01">
        <w:t xml:space="preserve"> pourraient apporter au pays d’accueil</w:t>
      </w:r>
      <w:r w:rsidR="00060459" w:rsidRPr="00082B01">
        <w:t xml:space="preserve"> par leurs compétences mais aussi de faire un tri sociologique.</w:t>
      </w:r>
      <w:r w:rsidR="00F33B81" w:rsidRPr="00082B01">
        <w:t xml:space="preserve"> </w:t>
      </w:r>
      <w:r w:rsidR="00575652" w:rsidRPr="00082B01">
        <w:t>En appliquant la théorie de la sémantique du prototype de Kleiber</w:t>
      </w:r>
      <w:r w:rsidR="00DD581A" w:rsidRPr="00082B01">
        <w:t xml:space="preserve"> (1999)</w:t>
      </w:r>
      <w:r w:rsidR="00575652" w:rsidRPr="00082B01">
        <w:t>, on pourrait tracer le profil du migrant</w:t>
      </w:r>
      <w:r w:rsidR="00BA0C60" w:rsidRPr="00082B01">
        <w:t xml:space="preserve"> en Europe</w:t>
      </w:r>
      <w:r w:rsidR="00575652" w:rsidRPr="00082B01">
        <w:t xml:space="preserve"> selon les représentations</w:t>
      </w:r>
      <w:r w:rsidR="00BA0C60" w:rsidRPr="00082B01">
        <w:t xml:space="preserve"> collectives : originaire de pays peu développés économiquement</w:t>
      </w:r>
      <w:r w:rsidR="00575652" w:rsidRPr="00082B01">
        <w:t>, pauvre, peu ou pa</w:t>
      </w:r>
      <w:r w:rsidR="00BA0C60" w:rsidRPr="00082B01">
        <w:t>s scolarisé, occupant un emploi ne demandant que peu ou pas de qualifications</w:t>
      </w:r>
      <w:r w:rsidR="00575652" w:rsidRPr="00082B01">
        <w:t xml:space="preserve"> ou mère au foyer s’occupant d’une famille nombreuse. Les migrants originaires d’Europe du nord, universitaires, ingénieurs ou ca</w:t>
      </w:r>
      <w:r w:rsidR="0062747F" w:rsidRPr="00082B01">
        <w:t>dres n’entrent pas dans ce stéréotype</w:t>
      </w:r>
      <w:r w:rsidR="00DC0108" w:rsidRPr="00082B01">
        <w:t xml:space="preserve"> </w:t>
      </w:r>
      <w:r w:rsidR="0062747F" w:rsidRPr="00082B01">
        <w:t>et sont</w:t>
      </w:r>
      <w:r w:rsidR="00575652" w:rsidRPr="00082B01">
        <w:t xml:space="preserve"> </w:t>
      </w:r>
      <w:r w:rsidR="00F2587F" w:rsidRPr="00082B01">
        <w:t xml:space="preserve">devenus quasiment </w:t>
      </w:r>
      <w:r w:rsidR="00BA0C60" w:rsidRPr="00082B01">
        <w:t>transparents dans les sociétés européennes</w:t>
      </w:r>
      <w:r w:rsidR="0062747F" w:rsidRPr="00082B01">
        <w:t xml:space="preserve">. </w:t>
      </w:r>
      <w:r w:rsidR="00BA0C60" w:rsidRPr="00082B01">
        <w:t>Ceci est accentué par le fait qu</w:t>
      </w:r>
      <w:r w:rsidR="003B49A9" w:rsidRPr="00082B01">
        <w:t>e les migrants appartenant à l’U</w:t>
      </w:r>
      <w:r w:rsidR="00BA0C60" w:rsidRPr="00082B01">
        <w:t>nion européenne bénéficient de d</w:t>
      </w:r>
      <w:r w:rsidR="007354CC" w:rsidRPr="00082B01">
        <w:t>r</w:t>
      </w:r>
      <w:r w:rsidR="00BA0C60" w:rsidRPr="00082B01">
        <w:t>oits que le</w:t>
      </w:r>
      <w:r w:rsidR="003B49A9" w:rsidRPr="00082B01">
        <w:t>s</w:t>
      </w:r>
      <w:r w:rsidR="00BA0C60" w:rsidRPr="00082B01">
        <w:t xml:space="preserve"> autres ne possèdent pas. </w:t>
      </w:r>
      <w:r w:rsidR="0062747F" w:rsidRPr="00082B01">
        <w:t xml:space="preserve">Ce ne sont </w:t>
      </w:r>
      <w:r w:rsidR="00575652" w:rsidRPr="00082B01">
        <w:t xml:space="preserve"> </w:t>
      </w:r>
      <w:r w:rsidR="007323DC" w:rsidRPr="00082B01">
        <w:t xml:space="preserve">donc </w:t>
      </w:r>
      <w:r w:rsidR="00575652" w:rsidRPr="00082B01">
        <w:t>pas</w:t>
      </w:r>
      <w:r w:rsidR="00F2587F" w:rsidRPr="00082B01">
        <w:t xml:space="preserve"> les immigrés en tant que tels</w:t>
      </w:r>
      <w:r w:rsidR="00575652" w:rsidRPr="00082B01">
        <w:t xml:space="preserve"> qui posent un « problème » d’intégrat</w:t>
      </w:r>
      <w:r w:rsidR="00F2587F" w:rsidRPr="00082B01">
        <w:t>ion</w:t>
      </w:r>
      <w:r w:rsidR="00916499" w:rsidRPr="00082B01">
        <w:t>,</w:t>
      </w:r>
      <w:r w:rsidR="00F2587F" w:rsidRPr="00082B01">
        <w:t xml:space="preserve"> </w:t>
      </w:r>
      <w:r w:rsidR="0062747F" w:rsidRPr="00082B01">
        <w:t>mais bien certains immigrés</w:t>
      </w:r>
      <w:r w:rsidR="007323DC" w:rsidRPr="00082B01">
        <w:t xml:space="preserve">, c’est-à-dire </w:t>
      </w:r>
      <w:r w:rsidR="00F2587F" w:rsidRPr="00082B01">
        <w:t>les moins dotés en capital culturel et é</w:t>
      </w:r>
      <w:r w:rsidR="00934D4D" w:rsidRPr="00082B01">
        <w:t xml:space="preserve">conomique qui se retrouvent </w:t>
      </w:r>
      <w:r w:rsidR="00F2587F" w:rsidRPr="00082B01">
        <w:t xml:space="preserve">en difficultés </w:t>
      </w:r>
      <w:r w:rsidR="0062747F" w:rsidRPr="00082B01">
        <w:t xml:space="preserve">d’insertion sociale </w:t>
      </w:r>
      <w:r w:rsidR="00F2587F" w:rsidRPr="00082B01">
        <w:t>dans la société d’accueil.</w:t>
      </w:r>
    </w:p>
    <w:p w:rsidR="00575652" w:rsidRPr="00082B01" w:rsidRDefault="00666CF9" w:rsidP="00666CF9">
      <w:pPr>
        <w:pStyle w:val="Titre2"/>
        <w:numPr>
          <w:ilvl w:val="0"/>
          <w:numId w:val="4"/>
        </w:numPr>
        <w:spacing w:before="360"/>
        <w:rPr>
          <w:i w:val="0"/>
          <w:sz w:val="24"/>
          <w:szCs w:val="24"/>
        </w:rPr>
      </w:pPr>
      <w:bookmarkStart w:id="7" w:name="_Toc197502465"/>
      <w:r w:rsidRPr="00082B01">
        <w:rPr>
          <w:i w:val="0"/>
          <w:sz w:val="24"/>
          <w:szCs w:val="24"/>
        </w:rPr>
        <w:t>Oralité et scripturalité</w:t>
      </w:r>
      <w:bookmarkEnd w:id="7"/>
    </w:p>
    <w:p w:rsidR="002A3131" w:rsidRPr="00082B01" w:rsidRDefault="000B7F8C" w:rsidP="0068794F">
      <w:pPr>
        <w:spacing w:before="120"/>
        <w:jc w:val="both"/>
      </w:pPr>
      <w:r w:rsidRPr="00082B01">
        <w:t>L</w:t>
      </w:r>
      <w:r w:rsidR="007471D6" w:rsidRPr="00082B01">
        <w:t xml:space="preserve">a question de la scolarité </w:t>
      </w:r>
      <w:r w:rsidRPr="00082B01">
        <w:t>d</w:t>
      </w:r>
      <w:r w:rsidR="00DD581A" w:rsidRPr="00082B01">
        <w:t>ans les pays d’origine</w:t>
      </w:r>
      <w:r w:rsidRPr="00082B01">
        <w:t xml:space="preserve"> </w:t>
      </w:r>
      <w:r w:rsidR="007471D6" w:rsidRPr="00082B01">
        <w:t>n’épuise</w:t>
      </w:r>
      <w:r w:rsidR="00DD581A" w:rsidRPr="00082B01">
        <w:t xml:space="preserve"> cependant </w:t>
      </w:r>
      <w:r w:rsidR="007471D6" w:rsidRPr="00082B01">
        <w:t xml:space="preserve"> pas le sujet : les migrants peu ou pas scolarisés sont bien sûr confrontés à des problèmes d’emploi, de qualification, de reconnaissance</w:t>
      </w:r>
      <w:r w:rsidR="00667633" w:rsidRPr="00082B01">
        <w:t>, d’adaptation culturelle de tous ordres</w:t>
      </w:r>
      <w:r w:rsidR="007471D6" w:rsidRPr="00082B01">
        <w:t xml:space="preserve"> mais ils sont aussi confrontés à </w:t>
      </w:r>
      <w:r w:rsidR="00667633" w:rsidRPr="00082B01">
        <w:t>une difficulté majeure : ils passent de l’oralité à la scripturalité</w:t>
      </w:r>
      <w:r w:rsidR="002E0577" w:rsidRPr="00082B01">
        <w:t xml:space="preserve"> pratiquement sans transition et ce </w:t>
      </w:r>
      <w:r w:rsidR="00D5556A" w:rsidRPr="00082B01">
        <w:t>passage provoque une rupture dont</w:t>
      </w:r>
      <w:r w:rsidR="002E0577" w:rsidRPr="00082B01">
        <w:t xml:space="preserve"> les problèmes </w:t>
      </w:r>
      <w:r w:rsidR="00C51FFC" w:rsidRPr="00082B01">
        <w:t>techniques de  maîtrise de l’écrit </w:t>
      </w:r>
      <w:r w:rsidR="002E0577" w:rsidRPr="00082B01">
        <w:t xml:space="preserve"> ne donne</w:t>
      </w:r>
      <w:r w:rsidR="00F0024E" w:rsidRPr="00082B01">
        <w:t>nt</w:t>
      </w:r>
      <w:r w:rsidR="002E0577" w:rsidRPr="00082B01">
        <w:t xml:space="preserve"> qu’une idée partielle. Ces deux notions, oralité et scripturalité</w:t>
      </w:r>
      <w:r w:rsidR="00C51FFC" w:rsidRPr="00082B01">
        <w:t>,</w:t>
      </w:r>
      <w:r w:rsidR="00D34096" w:rsidRPr="00082B01">
        <w:t xml:space="preserve"> sont essentielles pour comprendre non seulement le rapport à l’écrit des personnes faiblement ou non scolarisées</w:t>
      </w:r>
      <w:r w:rsidR="00C51FFC" w:rsidRPr="00082B01">
        <w:t>,</w:t>
      </w:r>
      <w:r w:rsidR="002A3131" w:rsidRPr="00082B01">
        <w:t xml:space="preserve"> mais aussi leurs rapports au savoir et au monde.</w:t>
      </w:r>
    </w:p>
    <w:p w:rsidR="00734454" w:rsidRPr="00082B01" w:rsidRDefault="002A3131" w:rsidP="0068794F">
      <w:pPr>
        <w:spacing w:before="120"/>
        <w:jc w:val="both"/>
      </w:pPr>
      <w:r w:rsidRPr="00082B01">
        <w:t xml:space="preserve">L’oralité </w:t>
      </w:r>
      <w:r w:rsidR="0024284B" w:rsidRPr="00082B01">
        <w:t>ne se réd</w:t>
      </w:r>
      <w:r w:rsidR="00191277" w:rsidRPr="00082B01">
        <w:t xml:space="preserve">uit ni à l’oral, comme  canal, </w:t>
      </w:r>
      <w:r w:rsidR="0024284B" w:rsidRPr="00082B01">
        <w:t xml:space="preserve">ni à la tradition orale et encore moins à la littérature orale. L’oralité </w:t>
      </w:r>
      <w:r w:rsidR="00191277" w:rsidRPr="00082B01">
        <w:t>intègre ces aspects</w:t>
      </w:r>
      <w:r w:rsidR="00734454" w:rsidRPr="00082B01">
        <w:t xml:space="preserve"> et les dépasse parce qu’elle possède p</w:t>
      </w:r>
      <w:r w:rsidR="00000414" w:rsidRPr="00082B01">
        <w:t>lusieurs dimensions : linguistique,</w:t>
      </w:r>
      <w:r w:rsidR="00734454" w:rsidRPr="00082B01">
        <w:t xml:space="preserve"> c</w:t>
      </w:r>
      <w:r w:rsidR="00000414" w:rsidRPr="00082B01">
        <w:t>ommunicationnelle et culturelle.</w:t>
      </w:r>
      <w:r w:rsidR="00734454" w:rsidRPr="00082B01">
        <w:t xml:space="preserve"> </w:t>
      </w:r>
    </w:p>
    <w:p w:rsidR="002D6510" w:rsidRPr="00082B01" w:rsidRDefault="002D6510" w:rsidP="0068794F">
      <w:pPr>
        <w:spacing w:before="120"/>
        <w:jc w:val="both"/>
      </w:pPr>
      <w:r w:rsidRPr="00082B01">
        <w:t xml:space="preserve">L’oralité </w:t>
      </w:r>
      <w:r w:rsidR="00005142" w:rsidRPr="00082B01">
        <w:t>exis</w:t>
      </w:r>
      <w:r w:rsidR="003B49A9" w:rsidRPr="00082B01">
        <w:t xml:space="preserve">te </w:t>
      </w:r>
      <w:r w:rsidR="00005142" w:rsidRPr="00082B01">
        <w:t xml:space="preserve">parce que la scripturalité l’a inventée. Les premiers ethnologues qui s’intéressent aux sociétés qu’ils appellent </w:t>
      </w:r>
      <w:r w:rsidR="00DD581A" w:rsidRPr="00082B01">
        <w:t xml:space="preserve">d’abord </w:t>
      </w:r>
      <w:r w:rsidR="00005142" w:rsidRPr="00082B01">
        <w:t>primi</w:t>
      </w:r>
      <w:r w:rsidR="003C3F73" w:rsidRPr="00082B01">
        <w:t>tives,</w:t>
      </w:r>
      <w:r w:rsidR="00005142" w:rsidRPr="00082B01">
        <w:t xml:space="preserve"> </w:t>
      </w:r>
      <w:r w:rsidR="003566FD" w:rsidRPr="00082B01">
        <w:t>découvre</w:t>
      </w:r>
      <w:r w:rsidR="00000414" w:rsidRPr="00082B01">
        <w:t>nt de</w:t>
      </w:r>
      <w:r w:rsidR="00DD581A" w:rsidRPr="00082B01">
        <w:t>s peuples qui ne connaissent</w:t>
      </w:r>
      <w:r w:rsidR="00000414" w:rsidRPr="00082B01">
        <w:t xml:space="preserve"> ou qui n’utilisent pas l’écriture</w:t>
      </w:r>
      <w:r w:rsidR="003566FD" w:rsidRPr="00082B01">
        <w:t xml:space="preserve"> et </w:t>
      </w:r>
      <w:r w:rsidR="00000414" w:rsidRPr="00082B01">
        <w:t>ils construisent leurs</w:t>
      </w:r>
      <w:r w:rsidR="003566FD" w:rsidRPr="00082B01">
        <w:t xml:space="preserve"> théories à partir de leurs propres représentations de lettrés vivant dans des</w:t>
      </w:r>
      <w:r w:rsidR="00000414" w:rsidRPr="00082B01">
        <w:t xml:space="preserve"> sociétés où l’écrit o</w:t>
      </w:r>
      <w:r w:rsidR="00DD581A" w:rsidRPr="00082B01">
        <w:t>ccupe une place prépondérante. I</w:t>
      </w:r>
      <w:r w:rsidR="00000414" w:rsidRPr="00082B01">
        <w:t>ls</w:t>
      </w:r>
      <w:r w:rsidR="003566FD" w:rsidRPr="00082B01">
        <w:t xml:space="preserve"> parle</w:t>
      </w:r>
      <w:r w:rsidR="00000414" w:rsidRPr="00082B01">
        <w:t>nt</w:t>
      </w:r>
      <w:r w:rsidR="003566FD" w:rsidRPr="00082B01">
        <w:t xml:space="preserve"> alors de sociétés de tradition orale. Mais </w:t>
      </w:r>
      <w:r w:rsidR="00AA3982" w:rsidRPr="00082B01">
        <w:t xml:space="preserve">pour </w:t>
      </w:r>
      <w:r w:rsidR="0062747F" w:rsidRPr="00082B01">
        <w:t xml:space="preserve">les peuples concernés, </w:t>
      </w:r>
      <w:r w:rsidR="00AA3982" w:rsidRPr="00082B01">
        <w:t xml:space="preserve"> cette particularité n’en est pas une puisqu’</w:t>
      </w:r>
      <w:r w:rsidR="001D2066" w:rsidRPr="00082B01">
        <w:t>ils ne connaissent que cette réalité. De</w:t>
      </w:r>
      <w:r w:rsidR="00DD581A" w:rsidRPr="00082B01">
        <w:t xml:space="preserve"> la même façon, en Europe</w:t>
      </w:r>
      <w:r w:rsidR="001D2066" w:rsidRPr="00082B01">
        <w:t>, les termes  </w:t>
      </w:r>
      <w:r w:rsidR="001D2066" w:rsidRPr="00082B01">
        <w:rPr>
          <w:i/>
          <w:iCs/>
        </w:rPr>
        <w:t>illettré</w:t>
      </w:r>
      <w:r w:rsidR="00D31977" w:rsidRPr="00082B01">
        <w:rPr>
          <w:i/>
          <w:iCs/>
        </w:rPr>
        <w:t> </w:t>
      </w:r>
      <w:r w:rsidR="001D2066" w:rsidRPr="00082B01">
        <w:t xml:space="preserve"> et  </w:t>
      </w:r>
      <w:r w:rsidR="00D31977" w:rsidRPr="00082B01">
        <w:rPr>
          <w:i/>
          <w:iCs/>
        </w:rPr>
        <w:t>analphabète</w:t>
      </w:r>
      <w:r w:rsidR="00D31977" w:rsidRPr="00082B01">
        <w:t> </w:t>
      </w:r>
      <w:r w:rsidR="001D2066" w:rsidRPr="00082B01">
        <w:t xml:space="preserve"> n’apparaissent en France </w:t>
      </w:r>
      <w:r w:rsidR="00000414" w:rsidRPr="00082B01">
        <w:t xml:space="preserve">par exemple </w:t>
      </w:r>
      <w:r w:rsidR="001D2066" w:rsidRPr="00082B01">
        <w:t>qu’au 16</w:t>
      </w:r>
      <w:r w:rsidR="003B49A9" w:rsidRPr="00082B01">
        <w:rPr>
          <w:vertAlign w:val="superscript"/>
        </w:rPr>
        <w:t>e</w:t>
      </w:r>
      <w:r w:rsidR="001D2066" w:rsidRPr="00082B01">
        <w:t xml:space="preserve"> siècle alors que la société française est très majoritairement </w:t>
      </w:r>
      <w:r w:rsidR="00D31977" w:rsidRPr="00082B01">
        <w:t>analphabète avant cette date. C’est précisément à l’époque où l’alphabétisation commence à progresser véritablement (Furet et Ozouf</w:t>
      </w:r>
      <w:r w:rsidR="003835FC" w:rsidRPr="00082B01">
        <w:t>, 1977</w:t>
      </w:r>
      <w:r w:rsidR="00D31977" w:rsidRPr="00082B01">
        <w:t>) que l’on donne un nom à ceux qui vont très prog</w:t>
      </w:r>
      <w:r w:rsidR="00541329" w:rsidRPr="00082B01">
        <w:t>ressivement devenir une exception</w:t>
      </w:r>
      <w:r w:rsidR="00D31977" w:rsidRPr="00082B01">
        <w:t xml:space="preserve"> puis une anomalie dans la société moderne. Avan</w:t>
      </w:r>
      <w:r w:rsidR="00541329" w:rsidRPr="00082B01">
        <w:t>t cette époque, ils se situent dans</w:t>
      </w:r>
      <w:r w:rsidR="00D31977" w:rsidRPr="00082B01">
        <w:t xml:space="preserve"> la normalité </w:t>
      </w:r>
      <w:r w:rsidR="00541329" w:rsidRPr="00082B01">
        <w:t xml:space="preserve">sociale </w:t>
      </w:r>
      <w:r w:rsidR="00D31977" w:rsidRPr="00082B01">
        <w:t xml:space="preserve">et l’on </w:t>
      </w:r>
      <w:r w:rsidR="00541329" w:rsidRPr="00082B01">
        <w:t>dé</w:t>
      </w:r>
      <w:r w:rsidR="00D31977" w:rsidRPr="00082B01">
        <w:t xml:space="preserve">nomme plutôt ceux qui se </w:t>
      </w:r>
      <w:r w:rsidR="00D31977" w:rsidRPr="00082B01">
        <w:lastRenderedPageBreak/>
        <w:t>trouvent hors de la norme, c’est-à-dire les  </w:t>
      </w:r>
      <w:r w:rsidR="00D31977" w:rsidRPr="00082B01">
        <w:rPr>
          <w:i/>
          <w:iCs/>
        </w:rPr>
        <w:t>lettrés</w:t>
      </w:r>
      <w:r w:rsidR="00541329" w:rsidRPr="00082B01">
        <w:rPr>
          <w:i/>
          <w:iCs/>
        </w:rPr>
        <w:t xml:space="preserve">, </w:t>
      </w:r>
      <w:r w:rsidR="000F79D7" w:rsidRPr="00082B01">
        <w:t xml:space="preserve"> mot qui</w:t>
      </w:r>
      <w:r w:rsidR="00D31977" w:rsidRPr="00082B01">
        <w:t xml:space="preserve"> apparaît dès le 12</w:t>
      </w:r>
      <w:r w:rsidR="003B49A9" w:rsidRPr="00082B01">
        <w:rPr>
          <w:rFonts w:ascii="Times" w:hAnsi="Times"/>
          <w:vertAlign w:val="superscript"/>
        </w:rPr>
        <w:t>e</w:t>
      </w:r>
      <w:r w:rsidR="0062747F" w:rsidRPr="00082B01">
        <w:t xml:space="preserve"> siècle en français et bien avant en latin.</w:t>
      </w:r>
      <w:r w:rsidR="00D31977" w:rsidRPr="00082B01">
        <w:t xml:space="preserve"> </w:t>
      </w:r>
    </w:p>
    <w:p w:rsidR="00D31977" w:rsidRPr="00082B01" w:rsidRDefault="0062747F" w:rsidP="0068794F">
      <w:pPr>
        <w:spacing w:before="120"/>
        <w:jc w:val="both"/>
      </w:pPr>
      <w:r w:rsidRPr="00082B01">
        <w:t>L’oralité représente</w:t>
      </w:r>
      <w:r w:rsidR="00D31977" w:rsidRPr="00082B01">
        <w:t xml:space="preserve"> la normalité culturelle de l’humanité depuis que l’</w:t>
      </w:r>
      <w:r w:rsidRPr="00082B01">
        <w:t>Homme a conçu</w:t>
      </w:r>
      <w:r w:rsidR="00806209" w:rsidRPr="00082B01">
        <w:t xml:space="preserve"> et développé l</w:t>
      </w:r>
      <w:r w:rsidRPr="00082B01">
        <w:t>es premiers systèmes symboliques de représentation</w:t>
      </w:r>
      <w:r w:rsidR="00806209" w:rsidRPr="00082B01">
        <w:t xml:space="preserve"> de la réalité</w:t>
      </w:r>
      <w:r w:rsidR="00BC602F" w:rsidRPr="00082B01">
        <w:t>. Il a fallu attendre des centaines d</w:t>
      </w:r>
      <w:r w:rsidR="000F79D7" w:rsidRPr="00082B01">
        <w:t>e milliers d’années après l’apparition des premières formes de</w:t>
      </w:r>
      <w:r w:rsidR="00BC602F" w:rsidRPr="00082B01">
        <w:t xml:space="preserve"> langage pour que l’homme se mette à écrire. Quand il a su le faire, il a encore fallu attendre cinq autres milliers d’années pour que l’usag</w:t>
      </w:r>
      <w:r w:rsidRPr="00082B01">
        <w:t>e de l’écrit soit maîtrisé par</w:t>
      </w:r>
      <w:r w:rsidR="00806209" w:rsidRPr="00082B01">
        <w:t xml:space="preserve"> la majorité de l’humanité</w:t>
      </w:r>
      <w:r w:rsidR="00BC602F" w:rsidRPr="00082B01">
        <w:t xml:space="preserve"> et</w:t>
      </w:r>
      <w:r w:rsidR="00EB3D4E" w:rsidRPr="00082B01">
        <w:t>, aujourd’hui encore,</w:t>
      </w:r>
      <w:r w:rsidR="00BC602F" w:rsidRPr="00082B01">
        <w:t xml:space="preserve"> nous savons </w:t>
      </w:r>
      <w:r w:rsidR="00D64C4F" w:rsidRPr="00082B01">
        <w:t xml:space="preserve">grâce à l’UNESCO </w:t>
      </w:r>
      <w:r w:rsidR="00BC602F" w:rsidRPr="00082B01">
        <w:t>qu’il</w:t>
      </w:r>
      <w:r w:rsidR="00EB3D4E" w:rsidRPr="00082B01">
        <w:t xml:space="preserve"> existe officiellement plus de 800 millions </w:t>
      </w:r>
      <w:r w:rsidR="00BC602F" w:rsidRPr="00082B01">
        <w:t>analphabèt</w:t>
      </w:r>
      <w:r w:rsidR="00EB3D4E" w:rsidRPr="00082B01">
        <w:t>es dans le monde</w:t>
      </w:r>
      <w:r w:rsidR="000F79D7" w:rsidRPr="00082B01">
        <w:t xml:space="preserve">, sans parler de plusieurs </w:t>
      </w:r>
      <w:r w:rsidR="00EB3D4E" w:rsidRPr="00082B01">
        <w:t xml:space="preserve">dizaines de </w:t>
      </w:r>
      <w:r w:rsidR="000F79D7" w:rsidRPr="00082B01">
        <w:t>millions d’autres</w:t>
      </w:r>
      <w:r w:rsidR="000C195C" w:rsidRPr="00082B01">
        <w:t xml:space="preserve"> qui</w:t>
      </w:r>
      <w:r w:rsidR="000F79D7" w:rsidRPr="00082B01">
        <w:t>, nous l’</w:t>
      </w:r>
      <w:r w:rsidR="000C195C" w:rsidRPr="00082B01">
        <w:t xml:space="preserve">avons dit, </w:t>
      </w:r>
      <w:r w:rsidR="000F79D7" w:rsidRPr="00082B01">
        <w:t>ne sont que très partiellement acculturés à l’écrit.</w:t>
      </w:r>
    </w:p>
    <w:p w:rsidR="00734454" w:rsidRPr="00082B01" w:rsidRDefault="005C66E8" w:rsidP="0068794F">
      <w:pPr>
        <w:spacing w:before="120"/>
        <w:jc w:val="both"/>
      </w:pPr>
      <w:r w:rsidRPr="00082B01">
        <w:t xml:space="preserve">Les travaux </w:t>
      </w:r>
      <w:r w:rsidR="00D754D6" w:rsidRPr="00082B01">
        <w:t>fondateurs de Goody (1977, 1994</w:t>
      </w:r>
      <w:r w:rsidRPr="00082B01">
        <w:t xml:space="preserve">) ont bien montré en quoi l’oralité différait radicalement de la scripturalité en termes de rapports à la réalité et au savoir. La maîtrise </w:t>
      </w:r>
      <w:r w:rsidR="00541329" w:rsidRPr="00082B01">
        <w:t xml:space="preserve">et l’utilisation </w:t>
      </w:r>
      <w:r w:rsidRPr="00082B01">
        <w:t>de l’écrit</w:t>
      </w:r>
      <w:r w:rsidR="00956F1A" w:rsidRPr="00082B01">
        <w:t xml:space="preserve"> impliquent</w:t>
      </w:r>
      <w:r w:rsidR="00541329" w:rsidRPr="00082B01">
        <w:t xml:space="preserve"> des modifications très importantes chez les in</w:t>
      </w:r>
      <w:r w:rsidR="00443E2B" w:rsidRPr="00082B01">
        <w:t>dividus et les groupes sociaux quant à leurs représentations</w:t>
      </w:r>
      <w:r w:rsidR="00956F1A" w:rsidRPr="00082B01">
        <w:t xml:space="preserve"> du monde et entraînent même des </w:t>
      </w:r>
      <w:r w:rsidR="00443E2B" w:rsidRPr="00082B01">
        <w:t>modification</w:t>
      </w:r>
      <w:r w:rsidR="00956F1A" w:rsidRPr="00082B01">
        <w:t>s de leurs</w:t>
      </w:r>
      <w:r w:rsidR="005A406D" w:rsidRPr="00082B01">
        <w:t xml:space="preserve"> structures cognitives</w:t>
      </w:r>
      <w:r w:rsidR="00956F1A" w:rsidRPr="00082B01">
        <w:t xml:space="preserve">. L’écrit permet de stocker et de conserver le savoir, de le diffuser, de le transmettre, il permet de confronter les informations, de les discuter, de les organiser, de les analyser. L’écrit c’est aussi </w:t>
      </w:r>
      <w:r w:rsidR="00D64C4F" w:rsidRPr="00082B01">
        <w:t>une organisation</w:t>
      </w:r>
      <w:r w:rsidR="005A406D" w:rsidRPr="00082B01">
        <w:t xml:space="preserve"> graphique</w:t>
      </w:r>
      <w:r w:rsidR="00D64C4F" w:rsidRPr="00082B01">
        <w:t xml:space="preserve"> </w:t>
      </w:r>
      <w:r w:rsidR="005A406D" w:rsidRPr="00082B01">
        <w:t>: le tableau et la liste, dont parlait Goody et dont il a démontré le rôle dans le développement de la pensée scientifique moderne, mais aussi le plan, le calendrier ou le</w:t>
      </w:r>
      <w:r w:rsidR="00934D4D" w:rsidRPr="00082B01">
        <w:t xml:space="preserve"> formulaire </w:t>
      </w:r>
      <w:r w:rsidR="00D64C4F" w:rsidRPr="00082B01">
        <w:t>que nous évoquerons</w:t>
      </w:r>
      <w:r w:rsidR="00000414" w:rsidRPr="00082B01">
        <w:t xml:space="preserve"> plus loin.</w:t>
      </w:r>
      <w:r w:rsidR="00E74A2F" w:rsidRPr="00082B01">
        <w:t xml:space="preserve"> C’est l’univers de l’écrit que décrit </w:t>
      </w:r>
      <w:r w:rsidR="005A406D" w:rsidRPr="00082B01">
        <w:t>Olson (</w:t>
      </w:r>
      <w:r w:rsidR="00E74A2F" w:rsidRPr="00082B01">
        <w:t>2001</w:t>
      </w:r>
      <w:r w:rsidR="005A406D" w:rsidRPr="00082B01">
        <w:t>)</w:t>
      </w:r>
      <w:r w:rsidR="00E74A2F" w:rsidRPr="00082B01">
        <w:t>.</w:t>
      </w:r>
      <w:r w:rsidR="00EB3D4E" w:rsidRPr="00082B01">
        <w:t xml:space="preserve"> L’univers de l’écrit</w:t>
      </w:r>
      <w:r w:rsidR="00E500C1" w:rsidRPr="00082B01">
        <w:t xml:space="preserve"> s’oppose à celui de l’oralité notamment par le fait qu’il n’a pas un rapport nécessaire à la réalité. L’écrit permet de décontextualiser le savoir en l’affranchissement de son contexte de production et d’échange. L’oralité en revanche a un rapport nécessaire avec la réalité et son contexte spatio-temporel, social, historique, économique et culturel (Adami, 2006). </w:t>
      </w:r>
    </w:p>
    <w:p w:rsidR="00DB61BE" w:rsidRPr="00082B01" w:rsidRDefault="00E500C1" w:rsidP="0068794F">
      <w:pPr>
        <w:spacing w:before="120"/>
        <w:jc w:val="both"/>
      </w:pPr>
      <w:r w:rsidRPr="00082B01">
        <w:t xml:space="preserve">Les sociétés modernes sont entrées de plain pied dans l’univers de l’écrit. L’oralité subsiste </w:t>
      </w:r>
      <w:r w:rsidR="00824082" w:rsidRPr="00082B01">
        <w:t>dans ses interstices mais elle ne peut survivre qu’au prix de la marginalisation. Toute la société est structurée par l’écrit : administration, école, commerce, services, loisirs, relations interpersonnelles aussi</w:t>
      </w:r>
      <w:r w:rsidR="0011703E" w:rsidRPr="00082B01">
        <w:t>,</w:t>
      </w:r>
      <w:r w:rsidR="00824082" w:rsidRPr="00082B01">
        <w:t xml:space="preserve"> si l’on pense par exemple au développement exponentiel du nombre de courriels et de te</w:t>
      </w:r>
      <w:r w:rsidR="0011703E" w:rsidRPr="00082B01">
        <w:t xml:space="preserve">xtos envoyés quotidiennement. Les </w:t>
      </w:r>
      <w:r w:rsidR="00824082" w:rsidRPr="00082B01">
        <w:t>espace</w:t>
      </w:r>
      <w:r w:rsidR="0011703E" w:rsidRPr="00082B01">
        <w:t>s</w:t>
      </w:r>
      <w:r w:rsidR="00824082" w:rsidRPr="00082B01">
        <w:t xml:space="preserve"> public</w:t>
      </w:r>
      <w:r w:rsidR="0011703E" w:rsidRPr="00082B01">
        <w:t>s</w:t>
      </w:r>
      <w:r w:rsidR="00824082" w:rsidRPr="00082B01">
        <w:t xml:space="preserve"> et privé</w:t>
      </w:r>
      <w:r w:rsidR="0011703E" w:rsidRPr="00082B01">
        <w:t>s sont</w:t>
      </w:r>
      <w:r w:rsidR="00824082" w:rsidRPr="00082B01">
        <w:t xml:space="preserve"> saturé</w:t>
      </w:r>
      <w:r w:rsidR="0011703E" w:rsidRPr="00082B01">
        <w:t>s</w:t>
      </w:r>
      <w:r w:rsidR="00824082" w:rsidRPr="00082B01">
        <w:t xml:space="preserve"> d’écrits et Internet ne fait que renforcer cette tendance lourde. Si l’illett</w:t>
      </w:r>
      <w:r w:rsidR="00000414" w:rsidRPr="00082B01">
        <w:t>risme ou l’analphabétisme dans l</w:t>
      </w:r>
      <w:r w:rsidR="00824082" w:rsidRPr="00082B01">
        <w:t xml:space="preserve">es sociétés </w:t>
      </w:r>
      <w:r w:rsidR="00000414" w:rsidRPr="00082B01">
        <w:t xml:space="preserve">développées </w:t>
      </w:r>
      <w:r w:rsidR="0011703E" w:rsidRPr="00082B01">
        <w:t>sont</w:t>
      </w:r>
      <w:r w:rsidR="00824082" w:rsidRPr="00082B01">
        <w:t xml:space="preserve"> aujourd’hui considéré</w:t>
      </w:r>
      <w:r w:rsidR="0011703E" w:rsidRPr="00082B01">
        <w:t xml:space="preserve">s comme des </w:t>
      </w:r>
      <w:r w:rsidR="00824082" w:rsidRPr="00082B01">
        <w:t xml:space="preserve"> plaie</w:t>
      </w:r>
      <w:r w:rsidR="0011703E" w:rsidRPr="00082B01">
        <w:t>s</w:t>
      </w:r>
      <w:r w:rsidR="00824082" w:rsidRPr="00082B01">
        <w:t xml:space="preserve"> sociale</w:t>
      </w:r>
      <w:r w:rsidR="0011703E" w:rsidRPr="00082B01">
        <w:t>s</w:t>
      </w:r>
      <w:r w:rsidR="00000414" w:rsidRPr="00082B01">
        <w:t>,</w:t>
      </w:r>
      <w:r w:rsidR="00824082" w:rsidRPr="00082B01">
        <w:t xml:space="preserve"> ce n’est pas tant parce qu’</w:t>
      </w:r>
      <w:r w:rsidR="00EB3D4E" w:rsidRPr="00082B01">
        <w:t>il</w:t>
      </w:r>
      <w:r w:rsidR="0011703E" w:rsidRPr="00082B01">
        <w:t>s</w:t>
      </w:r>
      <w:r w:rsidR="00EB3D4E" w:rsidRPr="00082B01">
        <w:t xml:space="preserve"> progress</w:t>
      </w:r>
      <w:r w:rsidR="0011703E" w:rsidRPr="00082B01">
        <w:t>eraient,</w:t>
      </w:r>
      <w:r w:rsidR="00DB61BE" w:rsidRPr="00082B01">
        <w:t xml:space="preserve"> </w:t>
      </w:r>
      <w:r w:rsidR="00824082" w:rsidRPr="00082B01">
        <w:t xml:space="preserve"> mais parce que la non maîtrise ou la maîtrise insuffisante de l’écrit est un véritable handicap social dans ces sociétés </w:t>
      </w:r>
      <w:r w:rsidR="0011703E" w:rsidRPr="00082B01">
        <w:t>hyper</w:t>
      </w:r>
      <w:r w:rsidR="00DB61BE" w:rsidRPr="00082B01">
        <w:t>-scripturalisées.</w:t>
      </w:r>
    </w:p>
    <w:p w:rsidR="00DB61BE" w:rsidRPr="00082B01" w:rsidRDefault="00666CF9" w:rsidP="00666CF9">
      <w:pPr>
        <w:pStyle w:val="Titre2"/>
        <w:numPr>
          <w:ilvl w:val="0"/>
          <w:numId w:val="4"/>
        </w:numPr>
        <w:spacing w:before="360"/>
        <w:rPr>
          <w:i w:val="0"/>
          <w:sz w:val="24"/>
          <w:szCs w:val="24"/>
        </w:rPr>
      </w:pPr>
      <w:bookmarkStart w:id="8" w:name="_Toc197502466"/>
      <w:r w:rsidRPr="00082B01">
        <w:rPr>
          <w:i w:val="0"/>
          <w:sz w:val="24"/>
          <w:szCs w:val="24"/>
        </w:rPr>
        <w:t>L</w:t>
      </w:r>
      <w:r w:rsidR="00DB61BE" w:rsidRPr="00082B01">
        <w:rPr>
          <w:i w:val="0"/>
          <w:sz w:val="24"/>
          <w:szCs w:val="24"/>
        </w:rPr>
        <w:t xml:space="preserve">’immigré et le </w:t>
      </w:r>
      <w:r w:rsidR="00934D4D" w:rsidRPr="00082B01">
        <w:rPr>
          <w:i w:val="0"/>
          <w:sz w:val="24"/>
          <w:szCs w:val="24"/>
        </w:rPr>
        <w:t>« </w:t>
      </w:r>
      <w:r w:rsidR="00DB61BE" w:rsidRPr="00082B01">
        <w:rPr>
          <w:i w:val="0"/>
          <w:sz w:val="24"/>
          <w:szCs w:val="24"/>
        </w:rPr>
        <w:t>choc des papiers</w:t>
      </w:r>
      <w:r w:rsidR="00934D4D" w:rsidRPr="00082B01">
        <w:rPr>
          <w:i w:val="0"/>
          <w:sz w:val="24"/>
          <w:szCs w:val="24"/>
        </w:rPr>
        <w:t> »</w:t>
      </w:r>
      <w:bookmarkEnd w:id="8"/>
    </w:p>
    <w:p w:rsidR="000A2FDC" w:rsidRPr="00082B01" w:rsidRDefault="00DB61BE" w:rsidP="0068794F">
      <w:pPr>
        <w:spacing w:before="120"/>
        <w:jc w:val="both"/>
      </w:pPr>
      <w:r w:rsidRPr="00082B01">
        <w:t xml:space="preserve">G. Noiriel (2006) </w:t>
      </w:r>
      <w:r w:rsidR="00A05727" w:rsidRPr="00082B01">
        <w:t>a démontré l’importance décisive</w:t>
      </w:r>
      <w:r w:rsidRPr="00082B01">
        <w:t xml:space="preserve"> de </w:t>
      </w:r>
      <w:r w:rsidR="00A05727" w:rsidRPr="00082B01">
        <w:t xml:space="preserve">l’apparition de </w:t>
      </w:r>
      <w:r w:rsidRPr="00082B01">
        <w:t>la pi</w:t>
      </w:r>
      <w:r w:rsidR="00000414" w:rsidRPr="00082B01">
        <w:t>èce d’identité dans l’histoire</w:t>
      </w:r>
      <w:r w:rsidR="00A05727" w:rsidRPr="00082B01">
        <w:t xml:space="preserve"> de l’immigration, apparition </w:t>
      </w:r>
      <w:r w:rsidR="00D64C4F" w:rsidRPr="00082B01">
        <w:t>qui a largement contribué à l’</w:t>
      </w:r>
      <w:r w:rsidR="00000414" w:rsidRPr="00082B01">
        <w:t>invention </w:t>
      </w:r>
      <w:r w:rsidR="00A05727" w:rsidRPr="00082B01">
        <w:t xml:space="preserve"> de l’étranger</w:t>
      </w:r>
      <w:r w:rsidRPr="00082B01">
        <w:t xml:space="preserve">. La frontière définitive entre le national et l’étranger est marquée </w:t>
      </w:r>
      <w:r w:rsidR="00000414" w:rsidRPr="00082B01">
        <w:t xml:space="preserve">en France </w:t>
      </w:r>
      <w:r w:rsidRPr="00082B01">
        <w:t>par l’apparition du code de la nationalité et de la carte d’identité</w:t>
      </w:r>
      <w:r w:rsidR="00A05727" w:rsidRPr="00082B01">
        <w:t>. Car l</w:t>
      </w:r>
      <w:r w:rsidR="00447F02" w:rsidRPr="00082B01">
        <w:t xml:space="preserve">a question des « papiers » est </w:t>
      </w:r>
      <w:r w:rsidR="00A05727" w:rsidRPr="00082B01">
        <w:t xml:space="preserve">en effet </w:t>
      </w:r>
      <w:r w:rsidR="00447F02" w:rsidRPr="00082B01">
        <w:t xml:space="preserve">pour l’immigré une question </w:t>
      </w:r>
      <w:r w:rsidR="009137B0" w:rsidRPr="00082B01">
        <w:t>majeure et l’actualité en offre une illustration</w:t>
      </w:r>
      <w:r w:rsidR="00000414" w:rsidRPr="00082B01">
        <w:t>. I</w:t>
      </w:r>
      <w:r w:rsidR="009137B0" w:rsidRPr="00082B01">
        <w:t xml:space="preserve">l est question </w:t>
      </w:r>
      <w:r w:rsidR="00447F02" w:rsidRPr="00082B01">
        <w:t>depuis q</w:t>
      </w:r>
      <w:r w:rsidR="009137B0" w:rsidRPr="00082B01">
        <w:t>uelques années maintenant</w:t>
      </w:r>
      <w:r w:rsidR="00447F02" w:rsidRPr="00082B01">
        <w:t xml:space="preserve"> d’une catégorie </w:t>
      </w:r>
      <w:r w:rsidR="00000414" w:rsidRPr="00082B01">
        <w:t> sociale </w:t>
      </w:r>
      <w:r w:rsidR="009137B0" w:rsidRPr="00082B01">
        <w:t xml:space="preserve"> que seule une</w:t>
      </w:r>
      <w:r w:rsidR="00447F02" w:rsidRPr="00082B01">
        <w:t xml:space="preserve"> soci</w:t>
      </w:r>
      <w:r w:rsidR="009137B0" w:rsidRPr="00082B01">
        <w:t>été script</w:t>
      </w:r>
      <w:r w:rsidR="00000414" w:rsidRPr="00082B01">
        <w:t xml:space="preserve">uralisée est capable d’inventer : les « sans papiers ». Ils </w:t>
      </w:r>
      <w:r w:rsidR="00447F02" w:rsidRPr="00082B01">
        <w:t>sont devenus les représentants emblématiques des immigrés. Le « choc des papiers », pour rep</w:t>
      </w:r>
      <w:r w:rsidR="009137B0" w:rsidRPr="00082B01">
        <w:t>rendre l’</w:t>
      </w:r>
      <w:r w:rsidR="00447F02" w:rsidRPr="00082B01">
        <w:t>expression de</w:t>
      </w:r>
      <w:r w:rsidR="0011703E" w:rsidRPr="00082B01">
        <w:t xml:space="preserve"> Noiriel, c’est la rencontre</w:t>
      </w:r>
      <w:r w:rsidR="00447F02" w:rsidRPr="00082B01">
        <w:t xml:space="preserve"> de ces immigrés</w:t>
      </w:r>
      <w:r w:rsidR="0011703E" w:rsidRPr="00082B01">
        <w:t xml:space="preserve"> faiblement scolarisés</w:t>
      </w:r>
      <w:r w:rsidR="00447F02" w:rsidRPr="00082B01">
        <w:t xml:space="preserve">, issus de sociétés de tradition orale, avec la </w:t>
      </w:r>
      <w:r w:rsidR="00A05727" w:rsidRPr="00082B01">
        <w:t>bureaucratie lourde et complexe</w:t>
      </w:r>
      <w:r w:rsidR="00447F02" w:rsidRPr="00082B01">
        <w:t xml:space="preserve"> des sociétés modernes. </w:t>
      </w:r>
      <w:r w:rsidR="00A05727" w:rsidRPr="00082B01">
        <w:t>Qu</w:t>
      </w:r>
      <w:r w:rsidR="00EF37A3" w:rsidRPr="00082B01">
        <w:t>and on sait que des natifs</w:t>
      </w:r>
      <w:r w:rsidR="00A05727" w:rsidRPr="00082B01">
        <w:t xml:space="preserve"> bien scolarisés et rompus à la gestion de la paperasse </w:t>
      </w:r>
      <w:r w:rsidR="00000414" w:rsidRPr="00082B01">
        <w:t xml:space="preserve">y </w:t>
      </w:r>
      <w:r w:rsidR="00A05727" w:rsidRPr="00082B01">
        <w:t>perdent parfois leur latin</w:t>
      </w:r>
      <w:r w:rsidR="000A2FDC" w:rsidRPr="00082B01">
        <w:t>, on comprend mieux la somme</w:t>
      </w:r>
      <w:r w:rsidR="00A05727" w:rsidRPr="00082B01">
        <w:t xml:space="preserve"> de difficultés et d’incompréhensions que peuvent représenter les démarches administratives po</w:t>
      </w:r>
      <w:r w:rsidR="00EF37A3" w:rsidRPr="00082B01">
        <w:t>ur des immigrés non natifs</w:t>
      </w:r>
      <w:r w:rsidR="00A05727" w:rsidRPr="00082B01">
        <w:t xml:space="preserve"> faiblement ou non </w:t>
      </w:r>
      <w:r w:rsidR="00A05727" w:rsidRPr="00082B01">
        <w:lastRenderedPageBreak/>
        <w:t xml:space="preserve">scolarisés. Ce sont d’ailleurs très souvent leurs enfants scolarisés dans le pays d’accueil </w:t>
      </w:r>
      <w:r w:rsidR="00D64C4F" w:rsidRPr="00082B01">
        <w:t xml:space="preserve">qui se chargent de cette corvée. </w:t>
      </w:r>
      <w:r w:rsidR="000A2FDC" w:rsidRPr="00082B01">
        <w:t>En fait, l</w:t>
      </w:r>
      <w:r w:rsidR="00A05727" w:rsidRPr="00082B01">
        <w:t>e choc est</w:t>
      </w:r>
      <w:r w:rsidR="00082033" w:rsidRPr="00082B01">
        <w:t xml:space="preserve"> double</w:t>
      </w:r>
      <w:r w:rsidR="000A3D80" w:rsidRPr="00082B01">
        <w:t xml:space="preserve"> pour ces immigrés : les difficultés qu’ils rencontrent sont bie</w:t>
      </w:r>
      <w:r w:rsidR="00396C62" w:rsidRPr="00082B01">
        <w:t>n sûr liées à leur faible ou inexistante</w:t>
      </w:r>
      <w:r w:rsidR="000A3D80" w:rsidRPr="00082B01">
        <w:t xml:space="preserve"> maîtrise de l</w:t>
      </w:r>
      <w:r w:rsidR="00396C62" w:rsidRPr="00082B01">
        <w:t>’écrit mais aussi à leur conceptions et à leurs pratiques des relations sociales.</w:t>
      </w:r>
      <w:r w:rsidR="000A3D80" w:rsidRPr="00082B01">
        <w:t xml:space="preserve"> Ces migrants sont en eff</w:t>
      </w:r>
      <w:r w:rsidR="00396C62" w:rsidRPr="00082B01">
        <w:t>et issus</w:t>
      </w:r>
      <w:r w:rsidR="000A3D80" w:rsidRPr="00082B01">
        <w:t xml:space="preserve"> de communautés rurales ou urbaines, de groupes sociaux qui sont fondés sur la proximité et l’interconnaissance : la famille, le village ou le quartier,</w:t>
      </w:r>
      <w:r w:rsidR="00D64C4F" w:rsidRPr="00082B01">
        <w:t xml:space="preserve"> la corporation professionnelle ou</w:t>
      </w:r>
      <w:r w:rsidR="000A3D80" w:rsidRPr="00082B01">
        <w:t xml:space="preserve"> l</w:t>
      </w:r>
      <w:r w:rsidR="00D64C4F" w:rsidRPr="00082B01">
        <w:t xml:space="preserve">es relations commerciales. </w:t>
      </w:r>
      <w:r w:rsidR="0052638A" w:rsidRPr="00082B01">
        <w:t xml:space="preserve">Ce sont </w:t>
      </w:r>
      <w:r w:rsidR="005911CF" w:rsidRPr="00082B01">
        <w:t xml:space="preserve">très souvent </w:t>
      </w:r>
      <w:r w:rsidR="0052638A" w:rsidRPr="00082B01">
        <w:t>des rapports interpersonnels directs. Dans les sociétés scripturalisées complexes au contraire, l’écrit s’impose très souvent comme un intermédiaire obligé dans les rapports humains. Il ne s’agit pas de décrire ici une société déshumanisée :</w:t>
      </w:r>
      <w:r w:rsidR="00B40E79" w:rsidRPr="00082B01">
        <w:t xml:space="preserve"> </w:t>
      </w:r>
      <w:r w:rsidR="0052638A" w:rsidRPr="00082B01">
        <w:t>les relations interpersonnelles directes n’ont pas disparu mais elles sont très souvent médiatisées par l’écrit.</w:t>
      </w:r>
      <w:r w:rsidR="00934D4D" w:rsidRPr="00082B01">
        <w:t xml:space="preserve"> Les migrants</w:t>
      </w:r>
      <w:r w:rsidR="00396C62" w:rsidRPr="00082B01">
        <w:t xml:space="preserve"> faiblement scolarisés sont ainsi</w:t>
      </w:r>
      <w:r w:rsidR="00934D4D" w:rsidRPr="00082B01">
        <w:t xml:space="preserve">  confrontés à un double obstacle sémiotique et  social quand ils entrent dans l’univers de l’écrit des sociétés modernes.</w:t>
      </w:r>
    </w:p>
    <w:p w:rsidR="00B40E79" w:rsidRPr="00082B01" w:rsidRDefault="00B40E79" w:rsidP="0068794F">
      <w:pPr>
        <w:spacing w:before="120"/>
        <w:jc w:val="both"/>
      </w:pPr>
      <w:r w:rsidRPr="00082B01">
        <w:t>L’entrée dan</w:t>
      </w:r>
      <w:r w:rsidR="00396C62" w:rsidRPr="00082B01">
        <w:t>s cet univers est le point de départ d’un processus d’</w:t>
      </w:r>
      <w:r w:rsidRPr="00082B01">
        <w:t xml:space="preserve">acculturation </w:t>
      </w:r>
      <w:r w:rsidR="00396C62" w:rsidRPr="00082B01">
        <w:t xml:space="preserve">qui va bouleverser tous les repères sociaux et symboliques </w:t>
      </w:r>
      <w:r w:rsidR="00A64338" w:rsidRPr="00082B01">
        <w:t xml:space="preserve">des migrants. </w:t>
      </w:r>
      <w:r w:rsidR="005911CF" w:rsidRPr="00082B01">
        <w:t>Nous allons tenter de montrer plus</w:t>
      </w:r>
      <w:r w:rsidR="00C013CE" w:rsidRPr="00082B01">
        <w:t xml:space="preserve"> concrètement ce que cela signifie pour des individus confrontés à ces difficultés quotidiennes. </w:t>
      </w:r>
    </w:p>
    <w:p w:rsidR="00C013CE" w:rsidRPr="00082B01" w:rsidRDefault="00933766" w:rsidP="00666CF9">
      <w:pPr>
        <w:pStyle w:val="Titre2"/>
        <w:numPr>
          <w:ilvl w:val="0"/>
          <w:numId w:val="4"/>
        </w:numPr>
        <w:spacing w:before="360"/>
        <w:rPr>
          <w:i w:val="0"/>
          <w:sz w:val="24"/>
          <w:szCs w:val="24"/>
        </w:rPr>
      </w:pPr>
      <w:bookmarkStart w:id="9" w:name="_Toc197502467"/>
      <w:r w:rsidRPr="00082B01">
        <w:rPr>
          <w:i w:val="0"/>
          <w:sz w:val="24"/>
          <w:szCs w:val="24"/>
        </w:rPr>
        <w:t xml:space="preserve">Exemples de </w:t>
      </w:r>
      <w:r w:rsidR="00CD50D2" w:rsidRPr="00082B01">
        <w:rPr>
          <w:i w:val="0"/>
          <w:sz w:val="24"/>
          <w:szCs w:val="24"/>
        </w:rPr>
        <w:t xml:space="preserve"> trois migrants face à l’ordre graphique</w:t>
      </w:r>
      <w:bookmarkEnd w:id="9"/>
    </w:p>
    <w:p w:rsidR="005F55D0" w:rsidRPr="00082B01" w:rsidRDefault="00A64338" w:rsidP="0068794F">
      <w:pPr>
        <w:spacing w:before="120"/>
        <w:jc w:val="both"/>
      </w:pPr>
      <w:r w:rsidRPr="00082B01">
        <w:t xml:space="preserve">Nous allons exposer </w:t>
      </w:r>
      <w:r w:rsidR="007B7F09" w:rsidRPr="00082B01">
        <w:t xml:space="preserve"> </w:t>
      </w:r>
      <w:r w:rsidRPr="00082B01">
        <w:t xml:space="preserve">le </w:t>
      </w:r>
      <w:r w:rsidR="007B7F09" w:rsidRPr="00082B01">
        <w:t xml:space="preserve">cas de </w:t>
      </w:r>
      <w:r w:rsidRPr="00082B01">
        <w:t xml:space="preserve"> trois </w:t>
      </w:r>
      <w:r w:rsidR="007B7F09" w:rsidRPr="00082B01">
        <w:t>migrants sui</w:t>
      </w:r>
      <w:r w:rsidR="005911CF" w:rsidRPr="00082B01">
        <w:t xml:space="preserve">vant une formation linguistique. </w:t>
      </w:r>
      <w:r w:rsidR="007B7F09" w:rsidRPr="00082B01">
        <w:t>Ce sont des adultes et des jeunes adultes primo-arrivants</w:t>
      </w:r>
      <w:r w:rsidR="00FB59E0" w:rsidRPr="00082B01">
        <w:t xml:space="preserve">, c’est-à-dire arrivés en France depuis moins de deux </w:t>
      </w:r>
      <w:r w:rsidR="003404B5" w:rsidRPr="00082B01">
        <w:t xml:space="preserve">ans </w:t>
      </w:r>
      <w:r w:rsidR="00FB59E0" w:rsidRPr="00082B01">
        <w:t xml:space="preserve">au moment de ces observations, </w:t>
      </w:r>
      <w:r w:rsidR="007B7F09" w:rsidRPr="00082B01">
        <w:t xml:space="preserve"> </w:t>
      </w:r>
      <w:r w:rsidR="0011703E" w:rsidRPr="00082B01">
        <w:t xml:space="preserve">et </w:t>
      </w:r>
      <w:r w:rsidR="007B7F09" w:rsidRPr="00082B01">
        <w:t xml:space="preserve">faiblement scolarisés dans leurs pays d’origine. Ces études de cas sont basées sur des observations empiriques que nous avons réalisées alors que nous étions formateur d’adultes. Nous avons </w:t>
      </w:r>
      <w:r w:rsidR="005F55D0" w:rsidRPr="00082B01">
        <w:t>ainsi suivi des dizaines de personnes et noté leur</w:t>
      </w:r>
      <w:r w:rsidR="00D64C4F" w:rsidRPr="00082B01">
        <w:t>s</w:t>
      </w:r>
      <w:r w:rsidR="005F55D0" w:rsidRPr="00082B01">
        <w:t xml:space="preserve"> problèmes, leurs difficultés, leurs réactions face à l’apprentissage du français et s</w:t>
      </w:r>
      <w:r w:rsidR="00D64C4F" w:rsidRPr="00082B01">
        <w:t>urtout face à l’écrit. Ces observations</w:t>
      </w:r>
      <w:r w:rsidR="005F55D0" w:rsidRPr="00082B01">
        <w:t xml:space="preserve"> n’ont pas d’autres prétentions ici que de donner un aperçu concret de ce que peut représenter la  découverte de l’univers de l’écrit par des personnes faiblement scolarisées. </w:t>
      </w:r>
    </w:p>
    <w:p w:rsidR="00F8449C" w:rsidRPr="00082B01" w:rsidRDefault="005F55D0" w:rsidP="0068794F">
      <w:pPr>
        <w:spacing w:before="120"/>
        <w:jc w:val="both"/>
      </w:pPr>
      <w:r w:rsidRPr="00082B01">
        <w:t xml:space="preserve">Il s’agit </w:t>
      </w:r>
      <w:r w:rsidR="003404B5" w:rsidRPr="00082B01">
        <w:t>d’Asmaa de</w:t>
      </w:r>
      <w:r w:rsidR="005B5C8A" w:rsidRPr="00082B01">
        <w:t xml:space="preserve"> Rachid et </w:t>
      </w:r>
      <w:r w:rsidR="0011703E" w:rsidRPr="00082B01">
        <w:t>de Jules.</w:t>
      </w:r>
      <w:r w:rsidR="005B5C8A" w:rsidRPr="00082B01">
        <w:t xml:space="preserve"> La première a 20 ans, elle est marocaine et a suivi une scolarité de 6 ans ; le second est lui aussi marocain, il a 17 ans et il a suivi une scolarité de 5 ans ;</w:t>
      </w:r>
      <w:r w:rsidR="00FB59E0" w:rsidRPr="00082B01">
        <w:t xml:space="preserve"> le troisième est </w:t>
      </w:r>
      <w:r w:rsidR="00571D09" w:rsidRPr="00082B01">
        <w:t>sénégalais</w:t>
      </w:r>
      <w:r w:rsidR="005B5C8A" w:rsidRPr="00082B01">
        <w:t xml:space="preserve"> et il a</w:t>
      </w:r>
      <w:r w:rsidR="00FB59E0" w:rsidRPr="00082B01">
        <w:t xml:space="preserve"> suivi une scolarité très irrégulière de 4 ans</w:t>
      </w:r>
      <w:r w:rsidR="005B5C8A" w:rsidRPr="00082B01">
        <w:t xml:space="preserve">. Les deux marocains vivaient dans des villages de l’Atlas : Rachid </w:t>
      </w:r>
      <w:r w:rsidR="00FB59E0" w:rsidRPr="00082B01">
        <w:t>vient d</w:t>
      </w:r>
      <w:r w:rsidR="005B5C8A" w:rsidRPr="00082B01">
        <w:t>u nord de Marrakec</w:t>
      </w:r>
      <w:r w:rsidR="00FB59E0" w:rsidRPr="00082B01">
        <w:t>h, d’</w:t>
      </w:r>
      <w:r w:rsidR="005B5C8A" w:rsidRPr="00082B01">
        <w:t>un</w:t>
      </w:r>
      <w:r w:rsidR="00FB59E0" w:rsidRPr="00082B01">
        <w:t xml:space="preserve"> village berbérophone ; Asmaa est originaire du sud de Fès et elle parle un dialecte</w:t>
      </w:r>
      <w:r w:rsidR="00571D09" w:rsidRPr="00082B01">
        <w:t xml:space="preserve"> arabe. </w:t>
      </w:r>
      <w:r w:rsidR="0011703E" w:rsidRPr="00082B01">
        <w:t>Jules</w:t>
      </w:r>
      <w:r w:rsidR="00571D09" w:rsidRPr="00082B01">
        <w:t xml:space="preserve"> parle le wolof</w:t>
      </w:r>
      <w:r w:rsidR="00FB59E0" w:rsidRPr="00082B01">
        <w:t xml:space="preserve"> et il habite</w:t>
      </w:r>
      <w:r w:rsidR="00571D09" w:rsidRPr="00082B01">
        <w:t xml:space="preserve"> dans un quartier de Dakar</w:t>
      </w:r>
      <w:r w:rsidR="00FB59E0" w:rsidRPr="00082B01">
        <w:t xml:space="preserve"> où ses parents ont immigré </w:t>
      </w:r>
      <w:r w:rsidR="005911CF" w:rsidRPr="00082B01">
        <w:t>venant d’un village de Casamance.</w:t>
      </w:r>
      <w:r w:rsidR="005D71F7" w:rsidRPr="00082B01">
        <w:t xml:space="preserve"> Tous les trois sont</w:t>
      </w:r>
      <w:r w:rsidR="00FB59E0" w:rsidRPr="00082B01">
        <w:t xml:space="preserve"> capables de communiquer en français à leur arrivé</w:t>
      </w:r>
      <w:r w:rsidR="00F8449C" w:rsidRPr="00082B01">
        <w:t>e</w:t>
      </w:r>
      <w:r w:rsidR="00FB59E0" w:rsidRPr="00082B01">
        <w:t>, à des degrés différents, Asmaa possédant le plus d’aisance. L’intercompréhension en</w:t>
      </w:r>
      <w:r w:rsidR="0011703E" w:rsidRPr="00082B01">
        <w:t xml:space="preserve"> français avec Rachid et Jules</w:t>
      </w:r>
      <w:r w:rsidR="005D71F7" w:rsidRPr="00082B01">
        <w:t xml:space="preserve"> est</w:t>
      </w:r>
      <w:r w:rsidR="00FB59E0" w:rsidRPr="00082B01">
        <w:t xml:space="preserve"> possible mais difficile. </w:t>
      </w:r>
      <w:r w:rsidR="00E342A0" w:rsidRPr="00082B01">
        <w:t xml:space="preserve">Ces </w:t>
      </w:r>
      <w:r w:rsidR="00A74A6D" w:rsidRPr="00082B01">
        <w:t>trois personnes ont</w:t>
      </w:r>
      <w:r w:rsidR="00E342A0" w:rsidRPr="00082B01">
        <w:t xml:space="preserve"> été alphabétisé</w:t>
      </w:r>
      <w:r w:rsidR="00D64C4F" w:rsidRPr="00082B01">
        <w:t>e</w:t>
      </w:r>
      <w:r w:rsidR="00E342A0" w:rsidRPr="00082B01">
        <w:t>s : en arabe et en français pour Asmaa et Rachid et uniqueme</w:t>
      </w:r>
      <w:r w:rsidR="0011703E" w:rsidRPr="00082B01">
        <w:t>nt en français pour Jules.</w:t>
      </w:r>
      <w:r w:rsidR="00E342A0" w:rsidRPr="00082B01">
        <w:t xml:space="preserve"> Cette alphabétisation est cependant superficielle et elle leur permet, tant bien que mal, de pouvoir déchiffrer quelques phrases en français sans toujours les comprendre. </w:t>
      </w:r>
      <w:r w:rsidR="00F8449C" w:rsidRPr="00082B01">
        <w:t>Comme tous les autres apprenants que nous suivions, ils apprenaient le français oral et écrit. Mais l’écrit que nous travaillions avec eux était orienté vers la vie quotidienne et ses besoins. Nous suivrons donc Rachid à la découverte de l’annuaire téléphoniqu</w:t>
      </w:r>
      <w:r w:rsidR="0011703E" w:rsidRPr="00082B01">
        <w:t>e, Jules</w:t>
      </w:r>
      <w:r w:rsidR="00F8449C" w:rsidRPr="00082B01">
        <w:t xml:space="preserve"> en route vers </w:t>
      </w:r>
      <w:smartTag w:uri="urn:schemas-microsoft-com:office:smarttags" w:element="PersonName">
        <w:smartTagPr>
          <w:attr w:name="ProductID" w:val="la Cit￩ Administrative"/>
        </w:smartTagPr>
        <w:r w:rsidR="00F8449C" w:rsidRPr="00082B01">
          <w:t>la Cité Administrative</w:t>
        </w:r>
      </w:smartTag>
      <w:r w:rsidR="00F8449C" w:rsidRPr="00082B01">
        <w:t xml:space="preserve"> à Nancy et Asmaa </w:t>
      </w:r>
      <w:r w:rsidR="005911CF" w:rsidRPr="00082B01">
        <w:t>avec ses problèmes de rendez-vous.</w:t>
      </w:r>
    </w:p>
    <w:p w:rsidR="00CD50D2" w:rsidRPr="00082B01" w:rsidRDefault="00CD50D2" w:rsidP="003B49A9">
      <w:pPr>
        <w:spacing w:before="240"/>
        <w:jc w:val="both"/>
        <w:rPr>
          <w:rFonts w:ascii="Arial" w:hAnsi="Arial" w:cs="Arial"/>
          <w:b/>
          <w:bCs/>
          <w:sz w:val="22"/>
          <w:szCs w:val="22"/>
        </w:rPr>
      </w:pPr>
      <w:r w:rsidRPr="00082B01">
        <w:rPr>
          <w:rFonts w:ascii="Arial" w:hAnsi="Arial" w:cs="Arial"/>
          <w:b/>
          <w:bCs/>
          <w:sz w:val="22"/>
          <w:szCs w:val="22"/>
        </w:rPr>
        <w:t>Rachid et l’annuaire téléphonique.</w:t>
      </w:r>
    </w:p>
    <w:p w:rsidR="00E342A0" w:rsidRPr="00082B01" w:rsidRDefault="00A27961" w:rsidP="0068794F">
      <w:pPr>
        <w:spacing w:before="120"/>
        <w:jc w:val="both"/>
      </w:pPr>
      <w:r w:rsidRPr="00082B01">
        <w:t xml:space="preserve">Rachid nous ayant </w:t>
      </w:r>
      <w:r w:rsidR="00A74A6D" w:rsidRPr="00082B01">
        <w:t xml:space="preserve">un jour demandé </w:t>
      </w:r>
      <w:r w:rsidRPr="00082B01">
        <w:t xml:space="preserve"> </w:t>
      </w:r>
      <w:r w:rsidR="00976D7D" w:rsidRPr="00082B01">
        <w:t xml:space="preserve">les coordonnées d’une personne </w:t>
      </w:r>
      <w:r w:rsidR="00CD50D2" w:rsidRPr="00082B01">
        <w:t>qu’il avait déjà rencontrée et à qui il voulait</w:t>
      </w:r>
      <w:r w:rsidRPr="00082B01">
        <w:t xml:space="preserve"> téléphoner</w:t>
      </w:r>
      <w:r w:rsidR="00CD50D2" w:rsidRPr="00082B01">
        <w:t xml:space="preserve"> pour un renseignement,</w:t>
      </w:r>
      <w:r w:rsidRPr="00082B01">
        <w:t xml:space="preserve"> nous en avons profité pour </w:t>
      </w:r>
      <w:r w:rsidRPr="00082B01">
        <w:lastRenderedPageBreak/>
        <w:t>aborder l’utilisation de l’annuaire. Or l’annuaire</w:t>
      </w:r>
      <w:r w:rsidR="00976D7D" w:rsidRPr="00082B01">
        <w:t xml:space="preserve"> téléphonique</w:t>
      </w:r>
      <w:r w:rsidRPr="00082B01">
        <w:t>, cet objet si banal</w:t>
      </w:r>
      <w:r w:rsidR="00976D7D" w:rsidRPr="00082B01">
        <w:t xml:space="preserve"> et maintenant dépassé</w:t>
      </w:r>
      <w:r w:rsidRPr="00082B01">
        <w:t>, est construit selon des conventions très particulières, typiques de cet univers de l’écrit, qui vont poser à Rachid des pro</w:t>
      </w:r>
      <w:r w:rsidR="00E342A0" w:rsidRPr="00082B01">
        <w:t>blèmes insurmontables. L’épaisseur même du document</w:t>
      </w:r>
      <w:r w:rsidR="00976D7D" w:rsidRPr="00082B01">
        <w:t xml:space="preserve"> d’abord </w:t>
      </w:r>
      <w:r w:rsidRPr="00082B01">
        <w:t>est particulièrement rebutante</w:t>
      </w:r>
      <w:r w:rsidR="00976D7D" w:rsidRPr="00082B01">
        <w:t>,</w:t>
      </w:r>
      <w:r w:rsidRPr="00082B01">
        <w:t xml:space="preserve">  ce qui le découragea d’emblée : il a vite compris que si l’information qu’il cherchait </w:t>
      </w:r>
      <w:r w:rsidR="00E33BB1" w:rsidRPr="00082B01">
        <w:t>se trouvait bien là, ce dont il n’était absolument pas convaincu, c’étai</w:t>
      </w:r>
      <w:r w:rsidR="00A74A6D" w:rsidRPr="00082B01">
        <w:t>t en quelque sorte chercher</w:t>
      </w:r>
      <w:r w:rsidR="00E33BB1" w:rsidRPr="00082B01">
        <w:t xml:space="preserve"> une aigui</w:t>
      </w:r>
      <w:r w:rsidR="0011703E" w:rsidRPr="00082B01">
        <w:t>lle dans une botte de foin. Nous avons</w:t>
      </w:r>
      <w:r w:rsidR="00E33BB1" w:rsidRPr="00082B01">
        <w:t xml:space="preserve"> ensuite compris pourquoi il </w:t>
      </w:r>
      <w:r w:rsidR="004C32DC" w:rsidRPr="00082B01">
        <w:t>semblait si découragé</w:t>
      </w:r>
      <w:r w:rsidR="0011703E" w:rsidRPr="00082B01">
        <w:t xml:space="preserve"> quand nous l’avons</w:t>
      </w:r>
      <w:r w:rsidR="00976D7D" w:rsidRPr="00082B01">
        <w:t xml:space="preserve"> vu</w:t>
      </w:r>
      <w:r w:rsidR="00E33BB1" w:rsidRPr="00082B01">
        <w:t xml:space="preserve"> ouvrir l’annuaire à la première page : il entreprenait de le feuilleter page par page pour y trouver le nom de la personne qu’il recherchait !</w:t>
      </w:r>
      <w:r w:rsidR="005911CF" w:rsidRPr="00082B01">
        <w:t xml:space="preserve"> Il a donc  découvert </w:t>
      </w:r>
      <w:r w:rsidR="00E669B1" w:rsidRPr="00082B01">
        <w:t xml:space="preserve"> à cette occasion </w:t>
      </w:r>
      <w:r w:rsidR="005911CF" w:rsidRPr="00082B01">
        <w:t xml:space="preserve">la raison d’être de </w:t>
      </w:r>
      <w:r w:rsidR="009E15EA" w:rsidRPr="00082B01">
        <w:t>l’ordre alphabétique</w:t>
      </w:r>
      <w:r w:rsidR="009D08B2" w:rsidRPr="00082B01">
        <w:t>,</w:t>
      </w:r>
      <w:r w:rsidR="009E15EA" w:rsidRPr="00082B01">
        <w:t xml:space="preserve"> ou plutôt une de ses formes d’application pratique</w:t>
      </w:r>
      <w:r w:rsidR="009D08B2" w:rsidRPr="00082B01">
        <w:t>, autrement qu’en le répétant par cœur comme il avait appris à le faire</w:t>
      </w:r>
      <w:r w:rsidR="00456C97" w:rsidRPr="00082B01">
        <w:t>.</w:t>
      </w:r>
      <w:r w:rsidR="00976D7D" w:rsidRPr="00082B01">
        <w:t xml:space="preserve"> Nous lui avons fourni une version imprimée de l’alphabet de façon à </w:t>
      </w:r>
      <w:r w:rsidR="004C32DC" w:rsidRPr="00082B01">
        <w:t>lui éviter</w:t>
      </w:r>
      <w:r w:rsidR="00976D7D" w:rsidRPr="00082B01">
        <w:t xml:space="preserve"> de se </w:t>
      </w:r>
      <w:r w:rsidR="004C32DC" w:rsidRPr="00082B01">
        <w:t>le répéter mentalement</w:t>
      </w:r>
      <w:r w:rsidR="00976D7D" w:rsidRPr="00082B01">
        <w:t xml:space="preserve">. </w:t>
      </w:r>
      <w:r w:rsidR="004C32DC" w:rsidRPr="00082B01">
        <w:t>I</w:t>
      </w:r>
      <w:r w:rsidR="00976D7D" w:rsidRPr="00082B01">
        <w:t xml:space="preserve">l a </w:t>
      </w:r>
      <w:r w:rsidR="00D64C4F" w:rsidRPr="00082B01">
        <w:t xml:space="preserve">ensuite </w:t>
      </w:r>
      <w:r w:rsidR="00976D7D" w:rsidRPr="00082B01">
        <w:t>ouvert l’annuaire à la pa</w:t>
      </w:r>
      <w:r w:rsidR="00D64C4F" w:rsidRPr="00082B01">
        <w:t>ge de la première localité</w:t>
      </w:r>
      <w:r w:rsidR="00976D7D" w:rsidRPr="00082B01">
        <w:t xml:space="preserve"> et s’apprêtait à suivre la liste du doigt pour y trouver </w:t>
      </w:r>
      <w:r w:rsidR="003F1B3E" w:rsidRPr="00082B01">
        <w:t>enfin le nom de cette personne : il ne savait donc pas que les localités étaient elles aussi inscrites dans l’ordre alphabétique.</w:t>
      </w:r>
      <w:r w:rsidR="00B55907" w:rsidRPr="00082B01">
        <w:t xml:space="preserve"> Quand il est enfin parvenu, avec n</w:t>
      </w:r>
      <w:r w:rsidR="00D64C4F" w:rsidRPr="00082B01">
        <w:t>otre aide, à trouver la ville</w:t>
      </w:r>
      <w:r w:rsidR="00B55907" w:rsidRPr="00082B01">
        <w:t xml:space="preserve">, il s’est retrouvé </w:t>
      </w:r>
      <w:r w:rsidR="00434BA8" w:rsidRPr="00082B01">
        <w:t xml:space="preserve">face à la liste interminable des noms d’une ville de 35 000 habitants. </w:t>
      </w:r>
      <w:r w:rsidR="009D08B2" w:rsidRPr="00082B01">
        <w:t>M</w:t>
      </w:r>
      <w:r w:rsidR="0011703E" w:rsidRPr="00082B01">
        <w:t>algré notre</w:t>
      </w:r>
      <w:r w:rsidR="00434BA8" w:rsidRPr="00082B01">
        <w:t xml:space="preserve"> </w:t>
      </w:r>
      <w:r w:rsidR="0011703E" w:rsidRPr="00082B01">
        <w:t>aide, il n’a</w:t>
      </w:r>
      <w:r w:rsidR="00434BA8" w:rsidRPr="00082B01">
        <w:t xml:space="preserve"> jamais trouvé le nom de la personne qu’i</w:t>
      </w:r>
      <w:r w:rsidR="003F77B1" w:rsidRPr="00082B01">
        <w:t>l cherchait. Découragé, il a</w:t>
      </w:r>
      <w:r w:rsidR="004C32DC" w:rsidRPr="00082B01">
        <w:t xml:space="preserve"> alors décidé de</w:t>
      </w:r>
      <w:r w:rsidR="00434BA8" w:rsidRPr="00082B01">
        <w:t xml:space="preserve"> retourner là où il avait rencontré cette personne pour lui parler directement de son problème. C’est alors que nous avons compris pour</w:t>
      </w:r>
      <w:r w:rsidR="0011703E" w:rsidRPr="00082B01">
        <w:t>quoi nous n’avions pas trouvé son</w:t>
      </w:r>
      <w:r w:rsidR="00434BA8" w:rsidRPr="00082B01">
        <w:t xml:space="preserve"> nom</w:t>
      </w:r>
      <w:r w:rsidR="0011703E" w:rsidRPr="00082B01">
        <w:t xml:space="preserve"> </w:t>
      </w:r>
      <w:r w:rsidR="00434BA8" w:rsidRPr="00082B01">
        <w:t>: il s’a</w:t>
      </w:r>
      <w:r w:rsidR="004C32DC" w:rsidRPr="00082B01">
        <w:t xml:space="preserve">gissait </w:t>
      </w:r>
      <w:r w:rsidR="005D71F7" w:rsidRPr="00082B01">
        <w:t>en fait</w:t>
      </w:r>
      <w:r w:rsidR="00EA5D06" w:rsidRPr="00082B01">
        <w:t xml:space="preserve"> </w:t>
      </w:r>
      <w:r w:rsidR="004C32DC" w:rsidRPr="00082B01">
        <w:t xml:space="preserve">d’un travailleur social. </w:t>
      </w:r>
      <w:r w:rsidR="00434BA8" w:rsidRPr="00082B01">
        <w:t xml:space="preserve">Nous aurions donc dû chercher le nom </w:t>
      </w:r>
      <w:r w:rsidR="004C32DC" w:rsidRPr="00082B01">
        <w:t xml:space="preserve">du service où </w:t>
      </w:r>
      <w:r w:rsidR="00EA5D06" w:rsidRPr="00082B01">
        <w:t xml:space="preserve">il </w:t>
      </w:r>
      <w:r w:rsidR="004C32DC" w:rsidRPr="00082B01">
        <w:t xml:space="preserve">travaillait </w:t>
      </w:r>
      <w:r w:rsidR="005D71F7" w:rsidRPr="00082B01">
        <w:t>et pas</w:t>
      </w:r>
      <w:r w:rsidR="004C32DC" w:rsidRPr="00082B01">
        <w:t xml:space="preserve"> son nom. </w:t>
      </w:r>
      <w:r w:rsidR="00434BA8" w:rsidRPr="00082B01">
        <w:t xml:space="preserve">Or, cette éventualité n’a jamais traversé l’esprit de Rachid : il avait rencontré </w:t>
      </w:r>
      <w:r w:rsidR="00434BA8" w:rsidRPr="00082B01">
        <w:rPr>
          <w:i/>
          <w:iCs/>
        </w:rPr>
        <w:t>une personne</w:t>
      </w:r>
      <w:r w:rsidR="00434BA8" w:rsidRPr="00082B01">
        <w:t xml:space="preserve"> qui l’avait aidé</w:t>
      </w:r>
      <w:r w:rsidR="00E342A0" w:rsidRPr="00082B01">
        <w:t>, non une insti</w:t>
      </w:r>
      <w:r w:rsidR="004C32DC" w:rsidRPr="00082B01">
        <w:t xml:space="preserve">tution et encore moins un sigle. </w:t>
      </w:r>
    </w:p>
    <w:p w:rsidR="00CE54F8" w:rsidRPr="00082B01" w:rsidRDefault="00E342A0" w:rsidP="0068794F">
      <w:pPr>
        <w:spacing w:before="120"/>
        <w:jc w:val="both"/>
      </w:pPr>
      <w:r w:rsidRPr="00082B01">
        <w:t>L’annuaire téléphonique est un outil irremplaçable pour qui est familier de l’ordre graphique et de son organisa</w:t>
      </w:r>
      <w:r w:rsidR="003F77B1" w:rsidRPr="00082B01">
        <w:t>tion mais</w:t>
      </w:r>
      <w:r w:rsidRPr="00082B01">
        <w:t xml:space="preserve"> il s’oppose en tous points, par son caractère purement conventionnel et arbitraire, à la réalité perçu</w:t>
      </w:r>
      <w:r w:rsidR="004C32DC" w:rsidRPr="00082B01">
        <w:t>e et vécue par qui n’est pas familier de l’ordre</w:t>
      </w:r>
      <w:r w:rsidRPr="00082B01">
        <w:t xml:space="preserve"> graphique.</w:t>
      </w:r>
      <w:r w:rsidR="00434BA8" w:rsidRPr="00082B01">
        <w:t xml:space="preserve"> </w:t>
      </w:r>
      <w:r w:rsidR="003F77B1" w:rsidRPr="00082B01">
        <w:t>L’annuaire téléphonique n’est donc pas une aide pour Rachid mais un véritable casse-tête.</w:t>
      </w:r>
    </w:p>
    <w:p w:rsidR="003F77B1" w:rsidRPr="00082B01" w:rsidRDefault="00EA5D06" w:rsidP="00666CF9">
      <w:pPr>
        <w:spacing w:before="240"/>
        <w:jc w:val="both"/>
        <w:rPr>
          <w:b/>
          <w:bCs/>
        </w:rPr>
      </w:pPr>
      <w:r w:rsidRPr="00082B01">
        <w:rPr>
          <w:rFonts w:ascii="Arial" w:hAnsi="Arial" w:cs="Arial"/>
          <w:b/>
          <w:bCs/>
          <w:sz w:val="22"/>
          <w:szCs w:val="22"/>
        </w:rPr>
        <w:t>Jules</w:t>
      </w:r>
      <w:r w:rsidR="003F77B1" w:rsidRPr="00082B01">
        <w:rPr>
          <w:rFonts w:ascii="Arial" w:hAnsi="Arial" w:cs="Arial"/>
          <w:b/>
          <w:bCs/>
          <w:sz w:val="22"/>
          <w:szCs w:val="22"/>
        </w:rPr>
        <w:t xml:space="preserve"> en route vers la Cité Administrative</w:t>
      </w:r>
    </w:p>
    <w:p w:rsidR="003F77B1" w:rsidRDefault="003F77B1" w:rsidP="0068794F">
      <w:pPr>
        <w:spacing w:before="120"/>
        <w:jc w:val="both"/>
      </w:pPr>
      <w:r w:rsidRPr="00082B01">
        <w:t xml:space="preserve">La Cité Administrative à Nancy regroupe au centre de la ville un certain nombre de services </w:t>
      </w:r>
      <w:r w:rsidR="00D64C4F" w:rsidRPr="00082B01">
        <w:t xml:space="preserve">publics </w:t>
      </w:r>
      <w:r w:rsidRPr="00082B01">
        <w:t xml:space="preserve">dans un ensemble de bâtiments imposants de plusieurs étages. Il faut savoir exactement ce que l’on vient y chercher pour trouver la bonne personne dans le bon bureau. </w:t>
      </w:r>
      <w:r w:rsidR="00EA5D06" w:rsidRPr="00082B01">
        <w:t>Jules</w:t>
      </w:r>
      <w:r w:rsidR="00EC2AA1" w:rsidRPr="00082B01">
        <w:t xml:space="preserve"> est arrivé un jour avec une convocation à </w:t>
      </w:r>
      <w:smartTag w:uri="urn:schemas-microsoft-com:office:smarttags" w:element="PersonName">
        <w:smartTagPr>
          <w:attr w:name="ProductID" w:val="la Cit￩ Administrative"/>
        </w:smartTagPr>
        <w:r w:rsidR="00EC2AA1" w:rsidRPr="00082B01">
          <w:t>la Cité Administrative</w:t>
        </w:r>
      </w:smartTag>
      <w:r w:rsidR="00EC2AA1" w:rsidRPr="00082B01">
        <w:t xml:space="preserve"> concernant un problème administratif banal. Quand il a compris qu’il ne pouvait pas se soustraire à cette convocation, il a prétexté mille et une bonnes excuses pour éviter d’y aller. </w:t>
      </w:r>
      <w:r w:rsidR="00D64C4F" w:rsidRPr="00082B01">
        <w:t>Pour l’aider, n</w:t>
      </w:r>
      <w:r w:rsidR="00EC2AA1" w:rsidRPr="00082B01">
        <w:t xml:space="preserve">ous lui avons donc fourni un plan de la ville et un dépliant schématisant la ligne de bus qu’il devait emprunter pour arriver à </w:t>
      </w:r>
      <w:smartTag w:uri="urn:schemas-microsoft-com:office:smarttags" w:element="PersonName">
        <w:smartTagPr>
          <w:attr w:name="ProductID" w:val="la Cit￩ Administrative."/>
        </w:smartTagPr>
        <w:r w:rsidR="00EC2AA1" w:rsidRPr="00082B01">
          <w:t>la Cité Administrative.</w:t>
        </w:r>
      </w:smartTag>
      <w:r w:rsidR="00EC2AA1" w:rsidRPr="00082B01">
        <w:t xml:space="preserve"> Il est revenu </w:t>
      </w:r>
      <w:r w:rsidR="00047A9F" w:rsidRPr="00082B01">
        <w:t xml:space="preserve">le lendemain en nous disant qu’il était arrivé jusqu’à </w:t>
      </w:r>
      <w:smartTag w:uri="urn:schemas-microsoft-com:office:smarttags" w:element="PersonName">
        <w:smartTagPr>
          <w:attr w:name="ProductID" w:val="la Cit￩ Administrative"/>
        </w:smartTagPr>
        <w:r w:rsidR="00047A9F" w:rsidRPr="00082B01">
          <w:t>la Cité Administrati</w:t>
        </w:r>
        <w:r w:rsidR="005D71F7" w:rsidRPr="00082B01">
          <w:t>ve</w:t>
        </w:r>
      </w:smartTag>
      <w:r w:rsidR="005D71F7" w:rsidRPr="00082B01">
        <w:t xml:space="preserve"> mais qu’il était revenu sur s</w:t>
      </w:r>
      <w:r w:rsidR="00047A9F" w:rsidRPr="00082B01">
        <w:t>es pas sans aller au r</w:t>
      </w:r>
      <w:r w:rsidR="003404B5" w:rsidRPr="00082B01">
        <w:t xml:space="preserve">endez-vous ! En fait, arrivé </w:t>
      </w:r>
      <w:r w:rsidR="00047A9F" w:rsidRPr="00082B01">
        <w:t xml:space="preserve">très </w:t>
      </w:r>
      <w:r w:rsidR="003404B5" w:rsidRPr="00082B01">
        <w:t xml:space="preserve">en </w:t>
      </w:r>
      <w:r w:rsidR="00047A9F" w:rsidRPr="00082B01">
        <w:t xml:space="preserve">retard, il n’a pas osé </w:t>
      </w:r>
      <w:r w:rsidR="00EC2AA1" w:rsidRPr="00082B01">
        <w:t xml:space="preserve"> </w:t>
      </w:r>
      <w:r w:rsidR="00EA5D06" w:rsidRPr="00082B01">
        <w:t xml:space="preserve">se présenter à son rendez-vous. </w:t>
      </w:r>
      <w:r w:rsidR="00047A9F" w:rsidRPr="00082B01">
        <w:t xml:space="preserve"> Son récit et l’explication de ce fiasco sont éclairants. Il avait toujours pris le bus sans recourir à un écrit et à un schéma parce qu’il prenait toujours les mêmes lignes pour aller toujours aux mêmes endroits. Ses </w:t>
      </w:r>
      <w:r w:rsidR="00DD425B" w:rsidRPr="00082B01">
        <w:t xml:space="preserve">repères sont </w:t>
      </w:r>
      <w:r w:rsidR="00047A9F" w:rsidRPr="00082B01">
        <w:t xml:space="preserve"> visuels : il sait qu’il doit descendre quand il voit tel ou tel b</w:t>
      </w:r>
      <w:r w:rsidR="00DD425B" w:rsidRPr="00082B01">
        <w:t>âtiment, tel ou tel angle de rue etc. La ligne schématisée avec son tracé rectiligne qui ne rappelle en rien la réalité de ces trajets si tortueux en ville, ses conventions graphiques et chromatiques, ses renvois et ses note</w:t>
      </w:r>
      <w:r w:rsidR="005911CF" w:rsidRPr="00082B01">
        <w:t xml:space="preserve">s minuscules en bas du document, </w:t>
      </w:r>
      <w:r w:rsidR="00DD425B" w:rsidRPr="00082B01">
        <w:t xml:space="preserve">tout cela fait qu’il s’est </w:t>
      </w:r>
      <w:r w:rsidR="004C32DC" w:rsidRPr="00082B01">
        <w:t>d’abord trompé de ligne</w:t>
      </w:r>
      <w:r w:rsidR="005911CF" w:rsidRPr="00082B01">
        <w:t>,</w:t>
      </w:r>
      <w:r w:rsidR="004C32DC" w:rsidRPr="00082B01">
        <w:t xml:space="preserve"> puis d’arrêt</w:t>
      </w:r>
      <w:r w:rsidR="00DD425B" w:rsidRPr="00082B01">
        <w:t xml:space="preserve">. </w:t>
      </w:r>
      <w:r w:rsidR="004C32DC" w:rsidRPr="00082B01">
        <w:t>Finalement a</w:t>
      </w:r>
      <w:r w:rsidR="00DD425B" w:rsidRPr="00082B01">
        <w:t xml:space="preserve">rrivé à </w:t>
      </w:r>
      <w:smartTag w:uri="urn:schemas-microsoft-com:office:smarttags" w:element="PersonName">
        <w:smartTagPr>
          <w:attr w:name="ProductID" w:val="la Cit￩ Administrative"/>
        </w:smartTagPr>
        <w:r w:rsidR="00DD425B" w:rsidRPr="00082B01">
          <w:t>la Cité Administrative</w:t>
        </w:r>
      </w:smartTag>
      <w:r w:rsidR="00DD425B" w:rsidRPr="00082B01">
        <w:t>, nouveaux écrits et nouveaux problèmes : la signalétique sur le sol, sur les bâtiments ou sur les panneaux, les sigles, les abréviations, les signes conventi</w:t>
      </w:r>
      <w:r w:rsidR="00EA5D06" w:rsidRPr="00082B01">
        <w:t xml:space="preserve">onnels comme les flèches, </w:t>
      </w:r>
      <w:r w:rsidR="00103081" w:rsidRPr="00082B01">
        <w:t xml:space="preserve">les </w:t>
      </w:r>
      <w:r w:rsidR="00DD425B" w:rsidRPr="00082B01">
        <w:t xml:space="preserve"> p</w:t>
      </w:r>
      <w:r w:rsidR="00103081" w:rsidRPr="00082B01">
        <w:t>oints ou</w:t>
      </w:r>
      <w:r w:rsidR="00DD425B" w:rsidRPr="00082B01">
        <w:t xml:space="preserve"> les couleurs, tout participe d’un formidable enchev</w:t>
      </w:r>
      <w:r w:rsidR="00103081" w:rsidRPr="00082B01">
        <w:t xml:space="preserve">êtrement </w:t>
      </w:r>
      <w:r w:rsidR="00103081" w:rsidRPr="00082B01">
        <w:lastRenderedPageBreak/>
        <w:t xml:space="preserve">de conventions et </w:t>
      </w:r>
      <w:r w:rsidR="00DD425B" w:rsidRPr="00082B01">
        <w:t xml:space="preserve"> d’</w:t>
      </w:r>
      <w:r w:rsidR="00103081" w:rsidRPr="00082B01">
        <w:t>ordonnancements qui vont bien au-delà des signes de la langue écrite.</w:t>
      </w:r>
      <w:r w:rsidR="003404B5" w:rsidRPr="00082B01">
        <w:t xml:space="preserve"> Le récit de son parcours dans </w:t>
      </w:r>
      <w:smartTag w:uri="urn:schemas-microsoft-com:office:smarttags" w:element="PersonName">
        <w:smartTagPr>
          <w:attr w:name="ProductID" w:val="la Cit￩ Administrative"/>
        </w:smartTagPr>
        <w:r w:rsidR="003404B5" w:rsidRPr="00082B01">
          <w:t>la Cité Administrative</w:t>
        </w:r>
      </w:smartTag>
      <w:r w:rsidR="003404B5" w:rsidRPr="00082B01">
        <w:t xml:space="preserve"> nous a montré à quel point chaque information écrite ou graphique</w:t>
      </w:r>
      <w:r w:rsidR="00EA5D06" w:rsidRPr="00082B01">
        <w:t xml:space="preserve"> pouvait lui poser un problème. Jules</w:t>
      </w:r>
      <w:r w:rsidR="00103081" w:rsidRPr="00082B01">
        <w:t xml:space="preserve"> s’est perdu dans ce dédale  sémiotique et</w:t>
      </w:r>
      <w:r w:rsidR="004C32DC" w:rsidRPr="00082B01">
        <w:t>,</w:t>
      </w:r>
      <w:r w:rsidR="00103081" w:rsidRPr="00082B01">
        <w:t xml:space="preserve"> avec une heure et demie de retard, il a préféré ne pas avoir à affronter </w:t>
      </w:r>
      <w:r w:rsidR="00EA5D06" w:rsidRPr="00082B01">
        <w:t>l’éventuel</w:t>
      </w:r>
      <w:r w:rsidR="004C32DC" w:rsidRPr="00082B01">
        <w:t xml:space="preserve"> courroux du fonctionnaire.</w:t>
      </w:r>
    </w:p>
    <w:p w:rsidR="00103081" w:rsidRPr="00082B01" w:rsidRDefault="00103081" w:rsidP="00666CF9">
      <w:pPr>
        <w:spacing w:before="240"/>
        <w:jc w:val="both"/>
        <w:rPr>
          <w:rFonts w:ascii="Arial" w:hAnsi="Arial" w:cs="Arial"/>
          <w:b/>
          <w:bCs/>
          <w:sz w:val="22"/>
          <w:szCs w:val="22"/>
        </w:rPr>
      </w:pPr>
      <w:r w:rsidRPr="00082B01">
        <w:rPr>
          <w:rFonts w:ascii="Arial" w:hAnsi="Arial" w:cs="Arial"/>
          <w:b/>
          <w:bCs/>
          <w:sz w:val="22"/>
          <w:szCs w:val="22"/>
        </w:rPr>
        <w:t>Asmaa et ses rendez-vous</w:t>
      </w:r>
    </w:p>
    <w:p w:rsidR="004C32DC" w:rsidRPr="00082B01" w:rsidRDefault="00103081" w:rsidP="0068794F">
      <w:pPr>
        <w:spacing w:before="120"/>
        <w:jc w:val="both"/>
      </w:pPr>
      <w:r w:rsidRPr="00082B01">
        <w:t xml:space="preserve">Nous avions plusieurs fois été alerté par les services sociaux qu’Asmaa, qui suivait un stage de formation </w:t>
      </w:r>
      <w:r w:rsidR="007E0342" w:rsidRPr="00082B01">
        <w:t xml:space="preserve">linguistique </w:t>
      </w:r>
      <w:r w:rsidRPr="00082B01">
        <w:t>avec nous, ne se rendait pas au</w:t>
      </w:r>
      <w:r w:rsidR="007E0342" w:rsidRPr="00082B01">
        <w:t>x</w:t>
      </w:r>
      <w:r w:rsidRPr="00082B01">
        <w:t xml:space="preserve"> rendez-vous </w:t>
      </w:r>
      <w:r w:rsidR="00D64C4F" w:rsidRPr="00082B01">
        <w:t>qu’on lui fixait. Asmaa</w:t>
      </w:r>
      <w:r w:rsidR="00EA5D06" w:rsidRPr="00082B01">
        <w:t>,</w:t>
      </w:r>
      <w:r w:rsidR="00D64C4F" w:rsidRPr="00082B01">
        <w:t xml:space="preserve"> au contraire</w:t>
      </w:r>
      <w:r w:rsidR="00EA5D06" w:rsidRPr="00082B01">
        <w:t>,</w:t>
      </w:r>
      <w:r w:rsidR="00D64C4F" w:rsidRPr="00082B01">
        <w:t xml:space="preserve"> </w:t>
      </w:r>
      <w:r w:rsidRPr="00082B01">
        <w:t xml:space="preserve">maintenait obstinément une version radicalement différente et accusait ces mêmes services de refuser à chaque fois de la recevoir. Après quelques explications, il s’est avéré qu’Asmaa se rendait dans ces services </w:t>
      </w:r>
      <w:r w:rsidRPr="00082B01">
        <w:rPr>
          <w:i/>
          <w:iCs/>
        </w:rPr>
        <w:t>quand elle le pouvait</w:t>
      </w:r>
      <w:r w:rsidRPr="00082B01">
        <w:t xml:space="preserve"> et non quand elle le devait pour la bonne et simple raison qu’elle n’</w:t>
      </w:r>
      <w:r w:rsidR="008B00EB" w:rsidRPr="00082B01">
        <w:t>avait pas remarqué</w:t>
      </w:r>
      <w:r w:rsidRPr="00082B01">
        <w:t xml:space="preserve"> qu’avec une convocation, il y a toujours une date</w:t>
      </w:r>
      <w:r w:rsidR="008B00EB" w:rsidRPr="00082B01">
        <w:t xml:space="preserve"> et une heure. Nous avons saisi cette occasion pour travailler sur l’agenda</w:t>
      </w:r>
      <w:r w:rsidR="006F0F5E" w:rsidRPr="00082B01">
        <w:t xml:space="preserve">. Cet outil </w:t>
      </w:r>
      <w:r w:rsidR="00D64C4F" w:rsidRPr="00082B01">
        <w:t xml:space="preserve">qui </w:t>
      </w:r>
      <w:r w:rsidR="008B00EB" w:rsidRPr="00082B01">
        <w:t>aurait d</w:t>
      </w:r>
      <w:r w:rsidR="006F0F5E" w:rsidRPr="00082B01">
        <w:t>û lui faciliter la vie </w:t>
      </w:r>
      <w:r w:rsidR="008B00EB" w:rsidRPr="00082B01">
        <w:t xml:space="preserve"> nous a</w:t>
      </w:r>
      <w:r w:rsidR="00D64C4F" w:rsidRPr="00082B01">
        <w:t xml:space="preserve"> permis de mesurer à quel point au contraire il déstabilisait et désorientait Asmaa. L</w:t>
      </w:r>
      <w:r w:rsidR="005911CF" w:rsidRPr="00082B01">
        <w:t>e temps aplati </w:t>
      </w:r>
      <w:r w:rsidR="008B00EB" w:rsidRPr="00082B01">
        <w:t xml:space="preserve"> de l’agenda, le temps abstrait qui ne repère plus un « aujourd’hui » par rapport à un « demain »</w:t>
      </w:r>
      <w:r w:rsidR="00D64C4F" w:rsidRPr="00082B01">
        <w:t xml:space="preserve"> mais</w:t>
      </w:r>
      <w:r w:rsidR="008B00EB" w:rsidRPr="00082B01">
        <w:t xml:space="preserve"> </w:t>
      </w:r>
      <w:r w:rsidR="00D64C4F" w:rsidRPr="00082B01">
        <w:t>qui présente</w:t>
      </w:r>
      <w:r w:rsidR="007E0342" w:rsidRPr="00082B01">
        <w:t xml:space="preserve"> </w:t>
      </w:r>
      <w:r w:rsidR="008B00EB" w:rsidRPr="00082B01">
        <w:t xml:space="preserve">une succession de pages identiques, </w:t>
      </w:r>
      <w:r w:rsidR="00D64C4F" w:rsidRPr="00082B01">
        <w:t xml:space="preserve">tout cela elle ne parvenait pas à le concevoir. </w:t>
      </w:r>
      <w:r w:rsidR="006F0F5E" w:rsidRPr="00082B01">
        <w:t xml:space="preserve"> </w:t>
      </w:r>
      <w:r w:rsidR="007E0342" w:rsidRPr="00082B01">
        <w:t>Sa vie ne pouvait pas se conforme</w:t>
      </w:r>
      <w:r w:rsidR="005911CF" w:rsidRPr="00082B01">
        <w:t>r à cette abstraction graphique et elle a tout simplement refusé de noter</w:t>
      </w:r>
      <w:r w:rsidR="003404B5" w:rsidRPr="00082B01">
        <w:t xml:space="preserve"> ses rendez-vous sur un agenda : « je veux pas mettre ma vie là-dedans » nous dit-elle finalement en repoussant l’agenda de la main.</w:t>
      </w:r>
    </w:p>
    <w:p w:rsidR="00F8449C" w:rsidRPr="00082B01" w:rsidRDefault="007E0342" w:rsidP="00666CF9">
      <w:pPr>
        <w:pStyle w:val="Titre2"/>
        <w:spacing w:before="360"/>
        <w:ind w:left="360"/>
        <w:rPr>
          <w:i w:val="0"/>
          <w:sz w:val="24"/>
          <w:szCs w:val="24"/>
        </w:rPr>
      </w:pPr>
      <w:bookmarkStart w:id="10" w:name="_Toc197502468"/>
      <w:r w:rsidRPr="00082B01">
        <w:rPr>
          <w:i w:val="0"/>
          <w:sz w:val="24"/>
          <w:szCs w:val="24"/>
        </w:rPr>
        <w:t>Conclusion</w:t>
      </w:r>
      <w:bookmarkEnd w:id="10"/>
    </w:p>
    <w:p w:rsidR="00660092" w:rsidRPr="00082B01" w:rsidRDefault="007E0342" w:rsidP="0068794F">
      <w:pPr>
        <w:spacing w:before="120"/>
        <w:jc w:val="both"/>
      </w:pPr>
      <w:r w:rsidRPr="00082B01">
        <w:t xml:space="preserve">La question de la maîtrise de la langue est incontournable dans le processus d’intégration des migrants mais elle ne résout pas tout. Les questions économiques et politiques surdéterminent les questions culturelles dont la langue fait partie. Les « problèmes » de l’intégration des migrants ressurgissent à chaque crise économique et politique dans les sociétés d’accueil. </w:t>
      </w:r>
      <w:r w:rsidR="00452419" w:rsidRPr="00082B01">
        <w:t>Cependant, l</w:t>
      </w:r>
      <w:r w:rsidRPr="00082B01">
        <w:t>es migrants faible</w:t>
      </w:r>
      <w:r w:rsidR="00452419" w:rsidRPr="00082B01">
        <w:t>ment ou non scolarisés</w:t>
      </w:r>
      <w:r w:rsidRPr="00082B01">
        <w:t xml:space="preserve"> sont à chaque fois en première ligne </w:t>
      </w:r>
      <w:r w:rsidR="00452419" w:rsidRPr="00082B01">
        <w:t>parce qu’ils cumulent les difficultés économiques et culturelles</w:t>
      </w:r>
      <w:r w:rsidR="00D64C4F" w:rsidRPr="00082B01">
        <w:t>. Or ces dernières ne sont</w:t>
      </w:r>
      <w:r w:rsidR="00452419" w:rsidRPr="00082B01">
        <w:t xml:space="preserve"> pas seulem</w:t>
      </w:r>
      <w:r w:rsidR="00610427" w:rsidRPr="00082B01">
        <w:t>ent liées à</w:t>
      </w:r>
      <w:r w:rsidR="00452419" w:rsidRPr="00082B01">
        <w:t xml:space="preserve"> l’origine géographique mais</w:t>
      </w:r>
      <w:r w:rsidR="00610427" w:rsidRPr="00082B01">
        <w:t xml:space="preserve"> aussi, et peut-être surtout, à</w:t>
      </w:r>
      <w:r w:rsidR="00452419" w:rsidRPr="00082B01">
        <w:t xml:space="preserve"> l</w:t>
      </w:r>
      <w:r w:rsidR="00610427" w:rsidRPr="00082B01">
        <w:t>’origine sociale. E</w:t>
      </w:r>
      <w:r w:rsidR="00452419" w:rsidRPr="00082B01">
        <w:t xml:space="preserve">n arrivant dans les sociétés développées, </w:t>
      </w:r>
      <w:r w:rsidR="00610427" w:rsidRPr="00082B01">
        <w:t xml:space="preserve">ils sont pris </w:t>
      </w:r>
      <w:r w:rsidR="00452419" w:rsidRPr="00082B01">
        <w:t xml:space="preserve">dans un processus d’acculturation qui va modifier radicalement leurs modes de vie et, partant, leurs façons de comprendre et d’appréhender la réalité. Le niveau de scolarisation est déterminant parce que sa faiblesse </w:t>
      </w:r>
      <w:r w:rsidR="00F517FB" w:rsidRPr="00082B01">
        <w:t xml:space="preserve">provoque </w:t>
      </w:r>
      <w:r w:rsidR="00610427" w:rsidRPr="00082B01">
        <w:t xml:space="preserve">un choc </w:t>
      </w:r>
      <w:r w:rsidR="004C32DC" w:rsidRPr="00082B01">
        <w:t xml:space="preserve">chez certains migrants </w:t>
      </w:r>
      <w:r w:rsidR="00610427" w:rsidRPr="00082B01">
        <w:t>quand ils découvrent</w:t>
      </w:r>
      <w:r w:rsidR="004C32DC" w:rsidRPr="00082B01">
        <w:t xml:space="preserve"> les sociétés d’accueil qui vivent et fonctionnent selon des codes sémiotiques extrêmement complexes, directement ou indirectement liés à l’écrit</w:t>
      </w:r>
      <w:r w:rsidR="00DD3DB6" w:rsidRPr="00082B01">
        <w:t>.</w:t>
      </w:r>
      <w:r w:rsidR="00A9486D" w:rsidRPr="00082B01">
        <w:t xml:space="preserve"> </w:t>
      </w:r>
    </w:p>
    <w:p w:rsidR="004875FF" w:rsidRPr="00082B01" w:rsidRDefault="00660092" w:rsidP="0068794F">
      <w:pPr>
        <w:spacing w:before="120"/>
        <w:jc w:val="both"/>
      </w:pPr>
      <w:r w:rsidRPr="00082B01">
        <w:t>C</w:t>
      </w:r>
      <w:r w:rsidR="00A9486D" w:rsidRPr="00082B01">
        <w:t xml:space="preserve">ette </w:t>
      </w:r>
      <w:r w:rsidR="004875FF" w:rsidRPr="00082B01">
        <w:t xml:space="preserve"> ligne de partage culturel </w:t>
      </w:r>
      <w:r w:rsidR="00A9486D" w:rsidRPr="00082B01">
        <w:t>ne recoupe pas les divisions communément admises entre</w:t>
      </w:r>
      <w:r w:rsidR="002204DE" w:rsidRPr="00082B01">
        <w:t xml:space="preserve"> les « cultures » qui sont en effet le plus souvent définies</w:t>
      </w:r>
      <w:r w:rsidR="00A9486D" w:rsidRPr="00082B01">
        <w:t xml:space="preserve"> se</w:t>
      </w:r>
      <w:r w:rsidR="002204DE" w:rsidRPr="00082B01">
        <w:t>lon des critères</w:t>
      </w:r>
      <w:r w:rsidR="00A9486D" w:rsidRPr="00082B01">
        <w:t xml:space="preserve"> na</w:t>
      </w:r>
      <w:r w:rsidR="00E07849" w:rsidRPr="00082B01">
        <w:t>tionaux, et</w:t>
      </w:r>
      <w:r w:rsidR="002204DE" w:rsidRPr="00082B01">
        <w:t>hniques ou religieux.</w:t>
      </w:r>
      <w:r w:rsidR="00E07849" w:rsidRPr="00082B01">
        <w:t xml:space="preserve"> En ce qui concerne les rapports à l’écrit et au savoir, cette ligne de partage est essentiellement sociale. La question de l’int</w:t>
      </w:r>
      <w:r w:rsidR="008257D9" w:rsidRPr="00082B01">
        <w:t>erculturalité est donc peut-être</w:t>
      </w:r>
      <w:r w:rsidRPr="00082B01">
        <w:t xml:space="preserve"> à reposer et à repenser.</w:t>
      </w:r>
    </w:p>
    <w:p w:rsidR="00BC1DFE" w:rsidRPr="00082B01" w:rsidRDefault="00BC1DFE" w:rsidP="0068794F">
      <w:pPr>
        <w:spacing w:before="120"/>
        <w:jc w:val="both"/>
      </w:pPr>
    </w:p>
    <w:p w:rsidR="00BC1DFE" w:rsidRPr="00082B01" w:rsidRDefault="00BC1DFE" w:rsidP="0068794F">
      <w:pPr>
        <w:spacing w:before="120"/>
        <w:jc w:val="both"/>
      </w:pPr>
    </w:p>
    <w:p w:rsidR="00BC1DFE" w:rsidRPr="00082B01" w:rsidRDefault="00666CF9" w:rsidP="00666CF9">
      <w:pPr>
        <w:pStyle w:val="Titre2"/>
        <w:spacing w:before="360"/>
        <w:ind w:left="360"/>
        <w:rPr>
          <w:sz w:val="24"/>
          <w:szCs w:val="24"/>
        </w:rPr>
      </w:pPr>
      <w:r w:rsidRPr="00082B01">
        <w:rPr>
          <w:sz w:val="24"/>
          <w:szCs w:val="24"/>
        </w:rPr>
        <w:br w:type="page"/>
      </w:r>
      <w:bookmarkStart w:id="11" w:name="_Toc197502469"/>
      <w:r w:rsidR="00BC1DFE" w:rsidRPr="00082B01">
        <w:rPr>
          <w:sz w:val="24"/>
          <w:szCs w:val="24"/>
        </w:rPr>
        <w:lastRenderedPageBreak/>
        <w:t>QUELQUES PROPOSITIONS</w:t>
      </w:r>
      <w:bookmarkEnd w:id="11"/>
    </w:p>
    <w:p w:rsidR="00665EA3" w:rsidRPr="00082B01" w:rsidRDefault="00EB6C13" w:rsidP="0068794F">
      <w:pPr>
        <w:numPr>
          <w:ilvl w:val="0"/>
          <w:numId w:val="3"/>
        </w:numPr>
        <w:spacing w:before="120"/>
        <w:jc w:val="both"/>
      </w:pPr>
      <w:r w:rsidRPr="00082B01">
        <w:t xml:space="preserve">De façon générale, il me semble important de ne  plus seulement penser la question de la différence culturelle en termes </w:t>
      </w:r>
      <w:r w:rsidR="00311562" w:rsidRPr="00082B01">
        <w:t>d’origine ethnique, religieuse</w:t>
      </w:r>
      <w:r w:rsidRPr="00082B01">
        <w:t xml:space="preserve"> </w:t>
      </w:r>
      <w:r w:rsidR="00311562" w:rsidRPr="00082B01">
        <w:t>ou nationale parce que ces catégories</w:t>
      </w:r>
      <w:r w:rsidRPr="00082B01">
        <w:t xml:space="preserve"> sont très largement artificielles et réductrices. Ces étiquettes contribuent à figer des identités qui</w:t>
      </w:r>
      <w:r w:rsidR="00756031" w:rsidRPr="00082B01">
        <w:t xml:space="preserve"> ont davantage </w:t>
      </w:r>
      <w:r w:rsidR="00311562" w:rsidRPr="00082B01">
        <w:t>de sens pou</w:t>
      </w:r>
      <w:r w:rsidR="00756031" w:rsidRPr="00082B01">
        <w:t>r ceux qui les</w:t>
      </w:r>
      <w:r w:rsidR="00FD4E9F" w:rsidRPr="00082B01">
        <w:t xml:space="preserve"> accolent</w:t>
      </w:r>
      <w:r w:rsidR="00756031" w:rsidRPr="00082B01">
        <w:t xml:space="preserve"> que </w:t>
      </w:r>
      <w:r w:rsidR="00311562" w:rsidRPr="00082B01">
        <w:t xml:space="preserve"> pour ceux qu’elles sont censées désigner</w:t>
      </w:r>
      <w:r w:rsidRPr="00082B01">
        <w:t>.</w:t>
      </w:r>
      <w:r w:rsidR="00311562" w:rsidRPr="00082B01">
        <w:t xml:space="preserve"> Les problèmes d’adaptation et d’intégration que rencontrent les migrants </w:t>
      </w:r>
      <w:r w:rsidR="00DE34D1" w:rsidRPr="00082B01">
        <w:t xml:space="preserve">ont souvent pour origine des malentendus et des incompréhensions concernant non  les principes et les valeurs sur lesquels reposent les sociétés d’accueil mais sur leurs modes de fonctionnement. </w:t>
      </w:r>
      <w:r w:rsidR="009F7541" w:rsidRPr="00082B01">
        <w:t>Ainsi, il est peu de domaines de la vie sociale qui échappent à une forme ou une autre de réglementation administrative, elle-même entièrement dépendante de l’écrit. La connaissance et le respect des grands principes poli</w:t>
      </w:r>
      <w:r w:rsidR="00BB353F" w:rsidRPr="00082B01">
        <w:t>tiques et culturels sont</w:t>
      </w:r>
      <w:r w:rsidR="009F7541" w:rsidRPr="00082B01">
        <w:t xml:space="preserve"> nécessaire</w:t>
      </w:r>
      <w:r w:rsidR="00BB353F" w:rsidRPr="00082B01">
        <w:t>s</w:t>
      </w:r>
      <w:r w:rsidR="009F7541" w:rsidRPr="00082B01">
        <w:t xml:space="preserve"> mais, concrètement, l’intégration plus ou moins rapide et plus ou moins réussie des</w:t>
      </w:r>
      <w:r w:rsidR="00756031" w:rsidRPr="00082B01">
        <w:t xml:space="preserve"> migrants passe aussi</w:t>
      </w:r>
      <w:r w:rsidR="009F7541" w:rsidRPr="00082B01">
        <w:t xml:space="preserve"> par la compréhension de ces </w:t>
      </w:r>
      <w:r w:rsidR="00BB353F" w:rsidRPr="00082B01">
        <w:t xml:space="preserve">pratiques du quotidien. </w:t>
      </w:r>
      <w:r w:rsidR="00D93887" w:rsidRPr="00082B01">
        <w:t>La complexité administrative des sociétés des pays d’accueil est devenue un trait culturel qu’il faut savoir expliquer aux migrants. Il ne s’agit plus simplement d’apprendre à remplir un formulaire administratif mais de comprendre pourquoi on le fait et quelles sont les conséquences si on ne le fait pas.</w:t>
      </w:r>
      <w:r w:rsidR="00EE588C" w:rsidRPr="00082B01">
        <w:t xml:space="preserve"> </w:t>
      </w:r>
    </w:p>
    <w:p w:rsidR="002C34A4" w:rsidRPr="00082B01" w:rsidRDefault="00C21F8A" w:rsidP="0068794F">
      <w:pPr>
        <w:numPr>
          <w:ilvl w:val="0"/>
          <w:numId w:val="3"/>
        </w:numPr>
        <w:spacing w:before="120"/>
        <w:jc w:val="both"/>
      </w:pPr>
      <w:r w:rsidRPr="00082B01">
        <w:t xml:space="preserve">Le passage d’une société dominée par l’oralité à une société dominée par la scripturalité est brutal pour un certain nombre de migrants. </w:t>
      </w:r>
      <w:r w:rsidR="005B5BB7" w:rsidRPr="00082B01">
        <w:t xml:space="preserve">On pourrait imaginer des personnes relais, des sortes de </w:t>
      </w:r>
      <w:r w:rsidR="002C34A4" w:rsidRPr="00082B01">
        <w:t>« </w:t>
      </w:r>
      <w:r w:rsidR="005B5BB7" w:rsidRPr="00082B01">
        <w:t>passeurs</w:t>
      </w:r>
      <w:r w:rsidR="002C34A4" w:rsidRPr="00082B01">
        <w:t xml:space="preserve"> culturels »</w:t>
      </w:r>
      <w:r w:rsidR="005B5BB7" w:rsidRPr="00082B01">
        <w:t xml:space="preserve"> qui aideraient les migrants les moins scolarisés à comprendre les arcanes de la société d’accueil.</w:t>
      </w:r>
      <w:r w:rsidR="00C9703B" w:rsidRPr="00082B01">
        <w:t xml:space="preserve"> Chaque passeur aurait en cha</w:t>
      </w:r>
      <w:r w:rsidR="00EE588C" w:rsidRPr="00082B01">
        <w:t>rge plusieurs familles à qui il servirai</w:t>
      </w:r>
      <w:r w:rsidR="00C9703B" w:rsidRPr="00082B01">
        <w:t>t de référent et d’</w:t>
      </w:r>
      <w:r w:rsidR="00C9703B" w:rsidRPr="00082B01">
        <w:rPr>
          <w:i/>
        </w:rPr>
        <w:t xml:space="preserve">interlocuteur </w:t>
      </w:r>
      <w:r w:rsidR="00C9703B" w:rsidRPr="00082B01">
        <w:t>privilégié. Ces passeurs parleraient la langue des ces familles</w:t>
      </w:r>
      <w:r w:rsidR="00EE588C" w:rsidRPr="00082B01">
        <w:t xml:space="preserve"> mais possèderaient bien sûr une excellente connaissance de la société d’accueil</w:t>
      </w:r>
      <w:r w:rsidR="00C9703B" w:rsidRPr="00082B01">
        <w:t xml:space="preserve">. Le passeur est un contact direct, personnel et </w:t>
      </w:r>
      <w:r w:rsidR="00BC4413" w:rsidRPr="00082B01">
        <w:t xml:space="preserve">oral avec </w:t>
      </w:r>
      <w:r w:rsidR="00EE588C" w:rsidRPr="00082B01">
        <w:t xml:space="preserve">les </w:t>
      </w:r>
      <w:r w:rsidR="00BC4413" w:rsidRPr="00082B01">
        <w:t>familles</w:t>
      </w:r>
      <w:r w:rsidR="00EE588C" w:rsidRPr="00082B01">
        <w:t>. Il aurait pour tâche essentielle d’expliciter les implicites des modes de fonctionnement de la société d’accueil.</w:t>
      </w:r>
      <w:r w:rsidR="002C34A4" w:rsidRPr="00082B01">
        <w:t xml:space="preserve"> </w:t>
      </w:r>
    </w:p>
    <w:p w:rsidR="00665EA3" w:rsidRPr="00082B01" w:rsidRDefault="00822F62" w:rsidP="0068794F">
      <w:pPr>
        <w:numPr>
          <w:ilvl w:val="0"/>
          <w:numId w:val="3"/>
        </w:numPr>
        <w:spacing w:before="120"/>
        <w:jc w:val="both"/>
      </w:pPr>
      <w:r w:rsidRPr="00082B01">
        <w:t xml:space="preserve">Les documents écrits destinés aux migrants sont de peu d’utilité pour ceux d’entre eux qui sont faiblement ou non scolarisés, </w:t>
      </w:r>
      <w:r w:rsidR="00BC1DFE" w:rsidRPr="00082B01">
        <w:rPr>
          <w:i/>
          <w:iCs/>
        </w:rPr>
        <w:t>y compris</w:t>
      </w:r>
      <w:r w:rsidRPr="00082B01">
        <w:rPr>
          <w:i/>
          <w:iCs/>
        </w:rPr>
        <w:t xml:space="preserve"> s’ils sont rédigés dans leur langue maternelle</w:t>
      </w:r>
      <w:r w:rsidRPr="00082B01">
        <w:t xml:space="preserve">. De toutes façons, même s’ils n’ont pas de problème fonctionnel rédhibitoire en lecture, les documents rédigés à leur intention dans leur langue « maternelle » le sont souvent dans </w:t>
      </w:r>
      <w:r w:rsidR="00002ACD" w:rsidRPr="00082B01">
        <w:t>une langue standard qu’ils ne comprennent pas parce qu’ils parlent un dialecte. Dans la mesure du possible, et compte tenu de l’équipement domestique audiovisuel des familles, la communication à leur intention est préférable à l’oral, sous forme d’enregistrements audio ou vidéo par exemple</w:t>
      </w:r>
      <w:r w:rsidR="00677B75" w:rsidRPr="00082B01">
        <w:t>,</w:t>
      </w:r>
      <w:r w:rsidR="00002ACD" w:rsidRPr="00082B01">
        <w:t xml:space="preserve"> dans les langues réellement parlées par les migrants.</w:t>
      </w:r>
    </w:p>
    <w:p w:rsidR="00217A12" w:rsidRPr="00082B01" w:rsidRDefault="001F2909" w:rsidP="0068794F">
      <w:pPr>
        <w:numPr>
          <w:ilvl w:val="0"/>
          <w:numId w:val="3"/>
        </w:numPr>
        <w:spacing w:before="120"/>
        <w:jc w:val="both"/>
      </w:pPr>
      <w:r w:rsidRPr="00082B01">
        <w:t>De nombreux Etats européens ont mis en place des dispositifs de formation linguistique pour les migrants primo-arrivants. Certain</w:t>
      </w:r>
      <w:r w:rsidR="00756031" w:rsidRPr="00082B01">
        <w:t>s</w:t>
      </w:r>
      <w:r w:rsidRPr="00082B01">
        <w:t xml:space="preserve"> de ces dispositifs mettent l’accent sur la maîtrise de langue de la vie quotidienne avec pour objectif de faciliter la</w:t>
      </w:r>
      <w:r w:rsidR="00217A12" w:rsidRPr="00082B01">
        <w:t xml:space="preserve"> communication courante. On pourrait imaginer de mettre en place, en complémentarité de cette formation linguistique de base, une formation linguistique-passerelle vers une qualification professionnelle. Il s’agirait de cours de langue orientés vers certain secteurs professionnels </w:t>
      </w:r>
      <w:r w:rsidR="00756031" w:rsidRPr="00082B01">
        <w:t>(construction, nettoyage</w:t>
      </w:r>
      <w:r w:rsidR="000E6688" w:rsidRPr="00082B01">
        <w:t xml:space="preserve">, etc.) </w:t>
      </w:r>
      <w:r w:rsidR="00217A12" w:rsidRPr="00082B01">
        <w:t xml:space="preserve">qui recrutent déjà traditionnellement des migrants non qualifiés. Cette formation se ferait sur la base du volontariat </w:t>
      </w:r>
      <w:r w:rsidR="00FD4E9F" w:rsidRPr="00082B01">
        <w:t xml:space="preserve">comme </w:t>
      </w:r>
      <w:r w:rsidR="00217A12" w:rsidRPr="00082B01">
        <w:t xml:space="preserve">une proposition offerte </w:t>
      </w:r>
      <w:r w:rsidR="00A63D05" w:rsidRPr="00082B01">
        <w:t xml:space="preserve">aux migrants </w:t>
      </w:r>
      <w:r w:rsidR="00217A12" w:rsidRPr="00082B01">
        <w:t>à l</w:t>
      </w:r>
      <w:r w:rsidR="00A63D05" w:rsidRPr="00082B01">
        <w:t xml:space="preserve">eur </w:t>
      </w:r>
      <w:r w:rsidR="00217A12" w:rsidRPr="00082B01">
        <w:t xml:space="preserve">arrivée. </w:t>
      </w:r>
      <w:r w:rsidR="00A63D05" w:rsidRPr="00082B01">
        <w:t>Cette proposition serait prioritairement faite aux migrants non ou faiblement scolarisés. En effet, l’intégration par le travail est souvent la condition nécessaire pour l’intégration sociale et culturelle. Or, ces migrants</w:t>
      </w:r>
      <w:r w:rsidR="00971BBB" w:rsidRPr="00082B01">
        <w:t>,</w:t>
      </w:r>
      <w:r w:rsidR="00A63D05" w:rsidRPr="00082B01">
        <w:t xml:space="preserve"> compte-tenu de leur niveau </w:t>
      </w:r>
      <w:r w:rsidR="00A63D05" w:rsidRPr="00082B01">
        <w:lastRenderedPageBreak/>
        <w:t xml:space="preserve">de formation, peinent à trouver du travail et, bien sûr, </w:t>
      </w:r>
      <w:r w:rsidR="00AD1DC6" w:rsidRPr="00082B01">
        <w:t xml:space="preserve">éprouvent </w:t>
      </w:r>
      <w:r w:rsidR="00971BBB" w:rsidRPr="00082B01">
        <w:t xml:space="preserve">aussi </w:t>
      </w:r>
      <w:r w:rsidR="00AD1DC6" w:rsidRPr="00082B01">
        <w:t>des difficultés pour suivre de</w:t>
      </w:r>
      <w:r w:rsidR="00971BBB" w:rsidRPr="00082B01">
        <w:t>s</w:t>
      </w:r>
      <w:r w:rsidR="00AD1DC6" w:rsidRPr="00082B01">
        <w:t xml:space="preserve"> formations qualifiantes qui demandent des pré-requis, notamment en termes de maîtrise de l’écrit, qu’ils ne possèdent pas.</w:t>
      </w:r>
      <w:r w:rsidR="00094C52" w:rsidRPr="00082B01">
        <w:t xml:space="preserve"> Une formation linguistique à orientation professionnelle permettrait peut-être d’allier la fin et les moyens : apprendre la langue du pays d’accueil </w:t>
      </w:r>
      <w:r w:rsidR="00482A9C" w:rsidRPr="00082B01">
        <w:t>mais l’apprendre aussi par le biais d’une variété linguistique qui offre l’avantage d’être plus pratique  et dont la maîtrise laisse entrevoir la possibilité d’une insertion concrète par le travail. Cette proposition rejoint en partie le travail qui a été fait avec Odysseus</w:t>
      </w:r>
      <w:r w:rsidR="00E732DC" w:rsidRPr="00082B01">
        <w:rPr>
          <w:rStyle w:val="Appelnotedebasdep"/>
        </w:rPr>
        <w:footnoteReference w:id="5"/>
      </w:r>
      <w:r w:rsidR="00482A9C" w:rsidRPr="00082B01">
        <w:t xml:space="preserve"> pour le Conseil de l’Europe (Grünhage-Monetti </w:t>
      </w:r>
      <w:r w:rsidR="00482A9C" w:rsidRPr="00082B01">
        <w:rPr>
          <w:i/>
        </w:rPr>
        <w:t>et alii</w:t>
      </w:r>
      <w:r w:rsidR="00482A9C" w:rsidRPr="00082B01">
        <w:t>, 2004).</w:t>
      </w:r>
    </w:p>
    <w:p w:rsidR="00217A12" w:rsidRPr="00082B01" w:rsidRDefault="00217A12" w:rsidP="0068794F">
      <w:pPr>
        <w:spacing w:before="120"/>
        <w:jc w:val="both"/>
      </w:pPr>
    </w:p>
    <w:p w:rsidR="000A51A8" w:rsidRPr="00082B01" w:rsidRDefault="000A51A8" w:rsidP="0068794F">
      <w:pPr>
        <w:spacing w:before="120"/>
        <w:jc w:val="both"/>
      </w:pPr>
    </w:p>
    <w:p w:rsidR="000A51A8" w:rsidRPr="00082B01" w:rsidRDefault="000A51A8" w:rsidP="0068794F">
      <w:pPr>
        <w:spacing w:before="120"/>
        <w:jc w:val="both"/>
      </w:pPr>
    </w:p>
    <w:p w:rsidR="000A51A8" w:rsidRDefault="000A51A8" w:rsidP="0068794F">
      <w:pPr>
        <w:spacing w:before="120"/>
        <w:jc w:val="both"/>
      </w:pPr>
    </w:p>
    <w:p w:rsidR="00482F23" w:rsidRPr="00082B01" w:rsidRDefault="00482F23" w:rsidP="0068794F">
      <w:pPr>
        <w:spacing w:before="120"/>
        <w:jc w:val="both"/>
      </w:pPr>
    </w:p>
    <w:p w:rsidR="00665EA3" w:rsidRPr="00082B01" w:rsidRDefault="00665EA3" w:rsidP="00666CF9">
      <w:pPr>
        <w:pStyle w:val="Titre2"/>
        <w:spacing w:before="360"/>
        <w:ind w:left="360"/>
        <w:rPr>
          <w:i w:val="0"/>
          <w:sz w:val="24"/>
          <w:szCs w:val="24"/>
        </w:rPr>
      </w:pPr>
      <w:bookmarkStart w:id="12" w:name="_Toc197502470"/>
      <w:r w:rsidRPr="00082B01">
        <w:rPr>
          <w:i w:val="0"/>
          <w:sz w:val="24"/>
          <w:szCs w:val="24"/>
        </w:rPr>
        <w:t>B</w:t>
      </w:r>
      <w:r w:rsidR="00666CF9" w:rsidRPr="00082B01">
        <w:rPr>
          <w:i w:val="0"/>
          <w:sz w:val="24"/>
          <w:szCs w:val="24"/>
        </w:rPr>
        <w:t>ibliographie</w:t>
      </w:r>
      <w:bookmarkEnd w:id="12"/>
    </w:p>
    <w:p w:rsidR="00665EA3" w:rsidRPr="00482F23" w:rsidRDefault="007323DC" w:rsidP="00666CF9">
      <w:pPr>
        <w:spacing w:before="120"/>
        <w:ind w:left="360" w:hanging="360"/>
        <w:jc w:val="both"/>
        <w:rPr>
          <w:sz w:val="22"/>
          <w:szCs w:val="22"/>
        </w:rPr>
      </w:pPr>
      <w:r w:rsidRPr="00482F23">
        <w:rPr>
          <w:sz w:val="22"/>
          <w:szCs w:val="22"/>
        </w:rPr>
        <w:t xml:space="preserve">ADAMI H., </w:t>
      </w:r>
      <w:r w:rsidR="00831E6A" w:rsidRPr="00482F23">
        <w:rPr>
          <w:sz w:val="22"/>
          <w:szCs w:val="22"/>
        </w:rPr>
        <w:t>« </w:t>
      </w:r>
      <w:r w:rsidRPr="00482F23">
        <w:rPr>
          <w:sz w:val="22"/>
          <w:szCs w:val="22"/>
        </w:rPr>
        <w:t>Tradition orale et héritage culturel : la transmission impossible ?</w:t>
      </w:r>
      <w:r w:rsidR="00831E6A" w:rsidRPr="00482F23">
        <w:rPr>
          <w:sz w:val="22"/>
          <w:szCs w:val="22"/>
        </w:rPr>
        <w:t> »</w:t>
      </w:r>
      <w:r w:rsidRPr="00482F23">
        <w:rPr>
          <w:sz w:val="22"/>
          <w:szCs w:val="22"/>
        </w:rPr>
        <w:t xml:space="preserve">, </w:t>
      </w:r>
      <w:r w:rsidRPr="00482F23">
        <w:rPr>
          <w:i/>
          <w:iCs/>
          <w:sz w:val="22"/>
          <w:szCs w:val="22"/>
        </w:rPr>
        <w:t>Traverses</w:t>
      </w:r>
      <w:r w:rsidRPr="00482F23">
        <w:rPr>
          <w:sz w:val="22"/>
          <w:szCs w:val="22"/>
        </w:rPr>
        <w:t>, Université Montpellier 3, 2006</w:t>
      </w:r>
      <w:r w:rsidR="00EB1E7E" w:rsidRPr="00482F23">
        <w:rPr>
          <w:sz w:val="22"/>
          <w:szCs w:val="22"/>
        </w:rPr>
        <w:t>.</w:t>
      </w:r>
    </w:p>
    <w:p w:rsidR="00142CC3" w:rsidRPr="00482F23" w:rsidRDefault="00E74A2F" w:rsidP="00666CF9">
      <w:pPr>
        <w:spacing w:before="120"/>
        <w:ind w:left="360" w:hanging="360"/>
        <w:jc w:val="both"/>
        <w:rPr>
          <w:sz w:val="22"/>
          <w:szCs w:val="22"/>
        </w:rPr>
      </w:pPr>
      <w:r w:rsidRPr="00482F23">
        <w:rPr>
          <w:sz w:val="22"/>
          <w:szCs w:val="22"/>
        </w:rPr>
        <w:t xml:space="preserve">BORREL C., </w:t>
      </w:r>
      <w:r w:rsidR="00831E6A" w:rsidRPr="00482F23">
        <w:rPr>
          <w:sz w:val="22"/>
          <w:szCs w:val="22"/>
        </w:rPr>
        <w:t>« </w:t>
      </w:r>
      <w:r w:rsidRPr="00482F23">
        <w:rPr>
          <w:sz w:val="22"/>
          <w:szCs w:val="22"/>
        </w:rPr>
        <w:t>Enquêtes annuelles de recensement 2004-2005. Près de 5 millions d’immigrés à la mi-2004</w:t>
      </w:r>
      <w:r w:rsidR="00831E6A" w:rsidRPr="00482F23">
        <w:rPr>
          <w:sz w:val="22"/>
          <w:szCs w:val="22"/>
        </w:rPr>
        <w:t> »</w:t>
      </w:r>
      <w:r w:rsidRPr="00482F23">
        <w:rPr>
          <w:sz w:val="22"/>
          <w:szCs w:val="22"/>
        </w:rPr>
        <w:t xml:space="preserve">, </w:t>
      </w:r>
      <w:r w:rsidRPr="00482F23">
        <w:rPr>
          <w:i/>
          <w:iCs/>
          <w:sz w:val="22"/>
          <w:szCs w:val="22"/>
        </w:rPr>
        <w:t>INSEE Première</w:t>
      </w:r>
      <w:r w:rsidRPr="00482F23">
        <w:rPr>
          <w:sz w:val="22"/>
          <w:szCs w:val="22"/>
        </w:rPr>
        <w:t>, n°1098, 2006.</w:t>
      </w:r>
    </w:p>
    <w:p w:rsidR="000C06C5" w:rsidRPr="00482F23" w:rsidRDefault="000C06C5" w:rsidP="00666CF9">
      <w:pPr>
        <w:spacing w:before="120"/>
        <w:ind w:left="360" w:hanging="360"/>
        <w:jc w:val="both"/>
        <w:rPr>
          <w:sz w:val="22"/>
          <w:szCs w:val="22"/>
        </w:rPr>
      </w:pPr>
      <w:r w:rsidRPr="00482F23">
        <w:rPr>
          <w:sz w:val="22"/>
          <w:szCs w:val="22"/>
        </w:rPr>
        <w:t xml:space="preserve">FURET F., OZOUF J., </w:t>
      </w:r>
      <w:r w:rsidRPr="00482F23">
        <w:rPr>
          <w:i/>
          <w:iCs/>
          <w:sz w:val="22"/>
          <w:szCs w:val="22"/>
        </w:rPr>
        <w:t>Lire et écrire. L’alphabétisation des français de Calvin à Jules Ferry</w:t>
      </w:r>
      <w:r w:rsidRPr="00482F23">
        <w:rPr>
          <w:sz w:val="22"/>
          <w:szCs w:val="22"/>
        </w:rPr>
        <w:t>, T1, T2, Les éditions de minuit, 1977.</w:t>
      </w:r>
    </w:p>
    <w:p w:rsidR="00142CC3" w:rsidRPr="00482F23" w:rsidRDefault="00EB1E7E" w:rsidP="00666CF9">
      <w:pPr>
        <w:spacing w:before="120"/>
        <w:ind w:left="360" w:hanging="360"/>
        <w:jc w:val="both"/>
        <w:rPr>
          <w:sz w:val="22"/>
          <w:szCs w:val="22"/>
        </w:rPr>
      </w:pPr>
      <w:r w:rsidRPr="00482F23">
        <w:rPr>
          <w:sz w:val="22"/>
          <w:szCs w:val="22"/>
        </w:rPr>
        <w:t xml:space="preserve">GOODY J., </w:t>
      </w:r>
      <w:r w:rsidR="00142CC3" w:rsidRPr="00482F23">
        <w:rPr>
          <w:i/>
          <w:iCs/>
          <w:sz w:val="22"/>
          <w:szCs w:val="22"/>
        </w:rPr>
        <w:t>La raison graphique</w:t>
      </w:r>
      <w:r w:rsidR="00142CC3" w:rsidRPr="00482F23">
        <w:rPr>
          <w:sz w:val="22"/>
          <w:szCs w:val="22"/>
        </w:rPr>
        <w:t>, Editions de minuit, 1977.</w:t>
      </w:r>
    </w:p>
    <w:p w:rsidR="00FC0133" w:rsidRPr="00482F23" w:rsidRDefault="00FC0133" w:rsidP="00666CF9">
      <w:pPr>
        <w:spacing w:before="120"/>
        <w:ind w:left="360" w:hanging="360"/>
        <w:jc w:val="both"/>
        <w:rPr>
          <w:sz w:val="22"/>
          <w:szCs w:val="22"/>
        </w:rPr>
      </w:pPr>
      <w:r w:rsidRPr="00482F23">
        <w:rPr>
          <w:sz w:val="22"/>
          <w:szCs w:val="22"/>
        </w:rPr>
        <w:t>GOODY</w:t>
      </w:r>
      <w:r w:rsidR="00142CC3" w:rsidRPr="00482F23">
        <w:rPr>
          <w:sz w:val="22"/>
          <w:szCs w:val="22"/>
        </w:rPr>
        <w:t xml:space="preserve"> J., </w:t>
      </w:r>
      <w:r w:rsidR="00142CC3" w:rsidRPr="00482F23">
        <w:rPr>
          <w:i/>
          <w:iCs/>
          <w:sz w:val="22"/>
          <w:szCs w:val="22"/>
        </w:rPr>
        <w:t xml:space="preserve"> Entre l’oralité et l’écriture</w:t>
      </w:r>
      <w:r w:rsidR="00142CC3" w:rsidRPr="00482F23">
        <w:rPr>
          <w:sz w:val="22"/>
          <w:szCs w:val="22"/>
        </w:rPr>
        <w:t>, PUF, 1994.</w:t>
      </w:r>
    </w:p>
    <w:p w:rsidR="00482A9C" w:rsidRPr="00482F23" w:rsidRDefault="00482A9C" w:rsidP="00666CF9">
      <w:pPr>
        <w:spacing w:before="120"/>
        <w:ind w:left="360" w:hanging="360"/>
        <w:jc w:val="both"/>
        <w:rPr>
          <w:sz w:val="22"/>
          <w:szCs w:val="22"/>
        </w:rPr>
      </w:pPr>
      <w:r w:rsidRPr="00482F23">
        <w:rPr>
          <w:sz w:val="22"/>
          <w:szCs w:val="22"/>
        </w:rPr>
        <w:t xml:space="preserve">GRUNHAGE-MONETTI M., HALEWIJN E., HOLLAND C., </w:t>
      </w:r>
      <w:r w:rsidRPr="00482F23">
        <w:rPr>
          <w:i/>
          <w:sz w:val="22"/>
          <w:szCs w:val="22"/>
        </w:rPr>
        <w:t xml:space="preserve">Odysseus: la deuxième langue sur le lieu de travail, </w:t>
      </w:r>
      <w:r w:rsidRPr="00482F23">
        <w:rPr>
          <w:sz w:val="22"/>
          <w:szCs w:val="22"/>
        </w:rPr>
        <w:t>Conseil de l’Europe, 2004.</w:t>
      </w:r>
    </w:p>
    <w:p w:rsidR="000C06C5" w:rsidRPr="00482F23" w:rsidRDefault="000C06C5" w:rsidP="00666CF9">
      <w:pPr>
        <w:spacing w:before="120"/>
        <w:ind w:left="360" w:hanging="360"/>
        <w:jc w:val="both"/>
        <w:rPr>
          <w:sz w:val="22"/>
          <w:szCs w:val="22"/>
        </w:rPr>
      </w:pPr>
      <w:r w:rsidRPr="00482F23">
        <w:rPr>
          <w:sz w:val="22"/>
          <w:szCs w:val="22"/>
        </w:rPr>
        <w:t xml:space="preserve">KLEIBER G., </w:t>
      </w:r>
      <w:r w:rsidRPr="00482F23">
        <w:rPr>
          <w:i/>
          <w:iCs/>
          <w:sz w:val="22"/>
          <w:szCs w:val="22"/>
        </w:rPr>
        <w:t>La sémantique du prototype. Catégories et sens lexical</w:t>
      </w:r>
      <w:r w:rsidRPr="00482F23">
        <w:rPr>
          <w:sz w:val="22"/>
          <w:szCs w:val="22"/>
        </w:rPr>
        <w:t>, PUF, 1999.</w:t>
      </w:r>
    </w:p>
    <w:p w:rsidR="000C06C5" w:rsidRPr="00482F23" w:rsidRDefault="000C06C5" w:rsidP="00666CF9">
      <w:pPr>
        <w:spacing w:before="120"/>
        <w:ind w:left="360" w:hanging="360"/>
        <w:jc w:val="both"/>
        <w:rPr>
          <w:sz w:val="22"/>
          <w:szCs w:val="22"/>
        </w:rPr>
      </w:pPr>
      <w:r w:rsidRPr="00482F23">
        <w:rPr>
          <w:sz w:val="22"/>
          <w:szCs w:val="22"/>
        </w:rPr>
        <w:t xml:space="preserve">OCDE, </w:t>
      </w:r>
      <w:r w:rsidRPr="00482F23">
        <w:rPr>
          <w:i/>
          <w:iCs/>
          <w:sz w:val="22"/>
          <w:szCs w:val="22"/>
        </w:rPr>
        <w:t>La littératie à l’ère de l’information. Rapport final de l’enquête internationale sur la littératie des adultes</w:t>
      </w:r>
      <w:r w:rsidRPr="00482F23">
        <w:rPr>
          <w:sz w:val="22"/>
          <w:szCs w:val="22"/>
        </w:rPr>
        <w:t>, OCDE, Statistique Canada, 2000.</w:t>
      </w:r>
    </w:p>
    <w:p w:rsidR="00FC0133" w:rsidRPr="00482F23" w:rsidRDefault="00FC0133" w:rsidP="00666CF9">
      <w:pPr>
        <w:spacing w:before="120"/>
        <w:ind w:left="360" w:hanging="360"/>
        <w:jc w:val="both"/>
        <w:rPr>
          <w:sz w:val="22"/>
          <w:szCs w:val="22"/>
        </w:rPr>
      </w:pPr>
      <w:r w:rsidRPr="00482F23">
        <w:rPr>
          <w:sz w:val="22"/>
          <w:szCs w:val="22"/>
        </w:rPr>
        <w:t>NOIRIEL</w:t>
      </w:r>
      <w:r w:rsidR="003375A3" w:rsidRPr="00482F23">
        <w:rPr>
          <w:sz w:val="22"/>
          <w:szCs w:val="22"/>
        </w:rPr>
        <w:t xml:space="preserve"> G., </w:t>
      </w:r>
      <w:r w:rsidR="003375A3" w:rsidRPr="00482F23">
        <w:rPr>
          <w:i/>
          <w:iCs/>
          <w:sz w:val="22"/>
          <w:szCs w:val="22"/>
        </w:rPr>
        <w:t>Le creuset français. Histoire de l’immigration 19</w:t>
      </w:r>
      <w:r w:rsidR="003375A3" w:rsidRPr="00482F23">
        <w:rPr>
          <w:i/>
          <w:iCs/>
          <w:sz w:val="22"/>
          <w:szCs w:val="22"/>
          <w:vertAlign w:val="superscript"/>
        </w:rPr>
        <w:t>ième</w:t>
      </w:r>
      <w:r w:rsidR="003375A3" w:rsidRPr="00482F23">
        <w:rPr>
          <w:i/>
          <w:iCs/>
          <w:sz w:val="22"/>
          <w:szCs w:val="22"/>
        </w:rPr>
        <w:t>-20</w:t>
      </w:r>
      <w:r w:rsidR="003375A3" w:rsidRPr="00482F23">
        <w:rPr>
          <w:i/>
          <w:iCs/>
          <w:sz w:val="22"/>
          <w:szCs w:val="22"/>
          <w:vertAlign w:val="superscript"/>
        </w:rPr>
        <w:t>ième</w:t>
      </w:r>
      <w:r w:rsidR="003375A3" w:rsidRPr="00482F23">
        <w:rPr>
          <w:i/>
          <w:iCs/>
          <w:sz w:val="22"/>
          <w:szCs w:val="22"/>
        </w:rPr>
        <w:t xml:space="preserve"> siècle</w:t>
      </w:r>
      <w:r w:rsidR="003375A3" w:rsidRPr="00482F23">
        <w:rPr>
          <w:sz w:val="22"/>
          <w:szCs w:val="22"/>
        </w:rPr>
        <w:t>, Seuil, 2006</w:t>
      </w:r>
      <w:r w:rsidR="000551A2" w:rsidRPr="00482F23">
        <w:rPr>
          <w:sz w:val="22"/>
          <w:szCs w:val="22"/>
        </w:rPr>
        <w:t>.</w:t>
      </w:r>
    </w:p>
    <w:p w:rsidR="00FC0133" w:rsidRPr="00482F23" w:rsidRDefault="00FC0133" w:rsidP="00666CF9">
      <w:pPr>
        <w:spacing w:before="120"/>
        <w:ind w:left="360" w:hanging="360"/>
        <w:jc w:val="both"/>
        <w:rPr>
          <w:sz w:val="22"/>
          <w:szCs w:val="22"/>
        </w:rPr>
      </w:pPr>
      <w:r w:rsidRPr="00482F23">
        <w:rPr>
          <w:sz w:val="22"/>
          <w:szCs w:val="22"/>
        </w:rPr>
        <w:t>OLSON</w:t>
      </w:r>
      <w:r w:rsidR="00142CC3" w:rsidRPr="00482F23">
        <w:rPr>
          <w:sz w:val="22"/>
          <w:szCs w:val="22"/>
        </w:rPr>
        <w:t xml:space="preserve"> D. R., </w:t>
      </w:r>
      <w:r w:rsidR="00142CC3" w:rsidRPr="00482F23">
        <w:rPr>
          <w:i/>
          <w:iCs/>
          <w:sz w:val="22"/>
          <w:szCs w:val="22"/>
        </w:rPr>
        <w:t>L’univers de l’écrit. Comment la culture écrite donne forme à la pensée</w:t>
      </w:r>
      <w:r w:rsidR="00142CC3" w:rsidRPr="00482F23">
        <w:rPr>
          <w:sz w:val="22"/>
          <w:szCs w:val="22"/>
        </w:rPr>
        <w:t>, Retz, 2001.</w:t>
      </w:r>
    </w:p>
    <w:p w:rsidR="00831E6A" w:rsidRPr="00482F23" w:rsidRDefault="00831E6A" w:rsidP="00666CF9">
      <w:pPr>
        <w:spacing w:before="120"/>
        <w:ind w:left="360" w:hanging="360"/>
        <w:jc w:val="both"/>
        <w:rPr>
          <w:sz w:val="22"/>
          <w:szCs w:val="22"/>
        </w:rPr>
      </w:pPr>
      <w:r w:rsidRPr="00482F23">
        <w:rPr>
          <w:sz w:val="22"/>
          <w:szCs w:val="22"/>
        </w:rPr>
        <w:t xml:space="preserve">VALLET L.A, CAILLE J.P, « Les carrières scolaires des élèves étrangers ou issus de l’immigration », </w:t>
      </w:r>
      <w:r w:rsidRPr="00482F23">
        <w:rPr>
          <w:i/>
          <w:iCs/>
          <w:sz w:val="22"/>
          <w:szCs w:val="22"/>
        </w:rPr>
        <w:t>Education et formations</w:t>
      </w:r>
      <w:r w:rsidRPr="00482F23">
        <w:rPr>
          <w:sz w:val="22"/>
          <w:szCs w:val="22"/>
        </w:rPr>
        <w:t>, n° 40, 1995.</w:t>
      </w:r>
    </w:p>
    <w:p w:rsidR="008A54EA" w:rsidRPr="008A54EA" w:rsidRDefault="008A54EA"/>
    <w:sectPr w:rsidR="008A54EA" w:rsidRPr="008A54EA" w:rsidSect="00482F23">
      <w:footerReference w:type="default" r:id="rId8"/>
      <w:pgSz w:w="11906" w:h="16838"/>
      <w:pgMar w:top="1304" w:right="1474" w:bottom="1418"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1009" w:rsidRDefault="008D1009">
      <w:r>
        <w:separator/>
      </w:r>
    </w:p>
  </w:endnote>
  <w:endnote w:type="continuationSeparator" w:id="0">
    <w:p w:rsidR="008D1009" w:rsidRDefault="008D1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B01" w:rsidRDefault="00082B01" w:rsidP="004A7519">
    <w:pPr>
      <w:pStyle w:val="Pieddepage"/>
      <w:framePr w:wrap="auto"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68497E">
      <w:rPr>
        <w:rStyle w:val="Numrodepage"/>
        <w:noProof/>
      </w:rPr>
      <w:t>1</w:t>
    </w:r>
    <w:r>
      <w:rPr>
        <w:rStyle w:val="Numrodepage"/>
      </w:rPr>
      <w:fldChar w:fldCharType="end"/>
    </w:r>
  </w:p>
  <w:p w:rsidR="00082B01" w:rsidRDefault="00082B01" w:rsidP="00AA236B">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1009" w:rsidRDefault="008D1009">
      <w:r>
        <w:separator/>
      </w:r>
    </w:p>
  </w:footnote>
  <w:footnote w:type="continuationSeparator" w:id="0">
    <w:p w:rsidR="008D1009" w:rsidRDefault="008D1009">
      <w:r>
        <w:continuationSeparator/>
      </w:r>
    </w:p>
  </w:footnote>
  <w:footnote w:id="1">
    <w:p w:rsidR="00000000" w:rsidRDefault="00082B01">
      <w:pPr>
        <w:pStyle w:val="Notedebasdepage"/>
      </w:pPr>
      <w:r>
        <w:rPr>
          <w:rStyle w:val="Appelnotedebasdep"/>
        </w:rPr>
        <w:footnoteRef/>
      </w:r>
      <w:r>
        <w:t xml:space="preserve"> voir Bibliographie</w:t>
      </w:r>
    </w:p>
  </w:footnote>
  <w:footnote w:id="2">
    <w:p w:rsidR="00000000" w:rsidRDefault="00082B01" w:rsidP="00736ADC">
      <w:pPr>
        <w:autoSpaceDE w:val="0"/>
        <w:autoSpaceDN w:val="0"/>
        <w:adjustRightInd w:val="0"/>
        <w:spacing w:before="40"/>
      </w:pPr>
      <w:r w:rsidRPr="00736ADC">
        <w:rPr>
          <w:rStyle w:val="Appelnotedebasdep"/>
          <w:sz w:val="20"/>
          <w:szCs w:val="20"/>
        </w:rPr>
        <w:footnoteRef/>
      </w:r>
      <w:r w:rsidRPr="00736ADC">
        <w:rPr>
          <w:sz w:val="20"/>
          <w:szCs w:val="20"/>
        </w:rPr>
        <w:t xml:space="preserve"> Selon l’UNESCO, en Afrique subsaharienne 4 adultes sur 10 ne savent ni lire ni écrire soit 136 millions de personnes et la région arabe affiche les mêmes résultats : 60,1 % de personnes alphabétisées (71,7 % pour les hommes, 47,8 % pour les femmes).</w:t>
      </w:r>
      <w:r>
        <w:rPr>
          <w:sz w:val="20"/>
          <w:szCs w:val="20"/>
        </w:rPr>
        <w:t xml:space="preserve"> </w:t>
      </w:r>
      <w:r w:rsidRPr="00736ADC">
        <w:rPr>
          <w:sz w:val="20"/>
          <w:szCs w:val="20"/>
        </w:rPr>
        <w:t xml:space="preserve">[Selon l’étude de WAGNER Daniel A., </w:t>
      </w:r>
      <w:hyperlink r:id="rId1" w:history="1">
        <w:r w:rsidRPr="00082B01">
          <w:rPr>
            <w:rStyle w:val="Lienhypertexte"/>
            <w:i/>
            <w:sz w:val="20"/>
            <w:szCs w:val="20"/>
            <w:u w:val="none"/>
          </w:rPr>
          <w:t>Alphabétisation et éducation des adultes</w:t>
        </w:r>
      </w:hyperlink>
      <w:r w:rsidRPr="00082B01">
        <w:rPr>
          <w:sz w:val="20"/>
          <w:szCs w:val="20"/>
        </w:rPr>
        <w:t xml:space="preserve">, </w:t>
      </w:r>
      <w:r w:rsidRPr="00736ADC">
        <w:rPr>
          <w:sz w:val="20"/>
          <w:szCs w:val="20"/>
        </w:rPr>
        <w:t>Forum  mondial de l'éducation. L'Education pour tous. Bilan à l'an 2000,  coordonné par l'Organisation des Nations Unies pour l'éducation, la science et la culture, UNESCO (p. 30)]</w:t>
      </w:r>
    </w:p>
  </w:footnote>
  <w:footnote w:id="3">
    <w:p w:rsidR="00000000" w:rsidRDefault="00082B01" w:rsidP="00736ADC">
      <w:pPr>
        <w:pStyle w:val="Notedebasdepage"/>
        <w:spacing w:before="40"/>
      </w:pPr>
      <w:r>
        <w:rPr>
          <w:rStyle w:val="Appelnotedebasdep"/>
        </w:rPr>
        <w:footnoteRef/>
      </w:r>
      <w:r>
        <w:t xml:space="preserve"> Enquêtes OCDE (2000, 2003 et 2006) : </w:t>
      </w:r>
      <w:r w:rsidRPr="00736ADC">
        <w:t>http://www.oecd.org/document/5/0,3343,en_32252351_32236191_39720645_1_1_1_1,00.html</w:t>
      </w:r>
    </w:p>
  </w:footnote>
  <w:footnote w:id="4">
    <w:p w:rsidR="00000000" w:rsidRDefault="00082B01">
      <w:pPr>
        <w:pStyle w:val="Notedebasdepage"/>
      </w:pPr>
      <w:r>
        <w:rPr>
          <w:rStyle w:val="Appelnotedebasdep"/>
        </w:rPr>
        <w:footnoteRef/>
      </w:r>
      <w:r>
        <w:t xml:space="preserve"> </w:t>
      </w:r>
      <w:r w:rsidRPr="00290570">
        <w:rPr>
          <w:i/>
          <w:iCs/>
        </w:rPr>
        <w:t>En moyenne</w:t>
      </w:r>
      <w:r>
        <w:t>, parce qu’un Marocain a 6 chances sur 10 d’être analphabète et un Malien 8 sur 10 par exemple.</w:t>
      </w:r>
    </w:p>
  </w:footnote>
  <w:footnote w:id="5">
    <w:p w:rsidR="00082B01" w:rsidRPr="008A54EA" w:rsidRDefault="00082B01" w:rsidP="008A54EA">
      <w:pPr>
        <w:spacing w:before="120"/>
        <w:jc w:val="both"/>
        <w:rPr>
          <w:sz w:val="20"/>
          <w:szCs w:val="20"/>
        </w:rPr>
      </w:pPr>
      <w:r w:rsidRPr="00082B01">
        <w:rPr>
          <w:rStyle w:val="Appelnotedebasdep"/>
          <w:sz w:val="20"/>
          <w:szCs w:val="20"/>
        </w:rPr>
        <w:footnoteRef/>
      </w:r>
      <w:r w:rsidRPr="00082B01">
        <w:rPr>
          <w:sz w:val="20"/>
          <w:szCs w:val="20"/>
        </w:rPr>
        <w:t xml:space="preserve"> </w:t>
      </w:r>
      <w:hyperlink r:id="rId2" w:history="1">
        <w:r w:rsidRPr="00082B01">
          <w:rPr>
            <w:rStyle w:val="Lienhypertexte"/>
            <w:sz w:val="20"/>
            <w:szCs w:val="20"/>
            <w:u w:val="none"/>
          </w:rPr>
          <w:t>Odysseus</w:t>
        </w:r>
      </w:hyperlink>
      <w:r w:rsidRPr="00082B01">
        <w:rPr>
          <w:sz w:val="20"/>
          <w:szCs w:val="20"/>
        </w:rPr>
        <w:t xml:space="preserve"> – </w:t>
      </w:r>
      <w:r w:rsidRPr="00082B01">
        <w:rPr>
          <w:i/>
          <w:sz w:val="20"/>
          <w:szCs w:val="20"/>
        </w:rPr>
        <w:t>La deuxième langue. sur lieu de travail</w:t>
      </w:r>
      <w:r w:rsidRPr="00082B01">
        <w:rPr>
          <w:sz w:val="20"/>
          <w:szCs w:val="20"/>
        </w:rPr>
        <w:t> : http://www.ecml.at/conf/flyers/Conf03Folder_125.pdf</w:t>
      </w:r>
    </w:p>
    <w:p w:rsidR="00000000" w:rsidRDefault="008D1009" w:rsidP="008A54EA">
      <w:pPr>
        <w:spacing w:before="120"/>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E3513"/>
    <w:multiLevelType w:val="hybridMultilevel"/>
    <w:tmpl w:val="C0D88EE8"/>
    <w:lvl w:ilvl="0" w:tplc="284EA34A">
      <w:start w:val="1"/>
      <w:numFmt w:val="lowerLetter"/>
      <w:lvlText w:val="%1)"/>
      <w:lvlJc w:val="left"/>
      <w:pPr>
        <w:tabs>
          <w:tab w:val="num" w:pos="1068"/>
        </w:tabs>
        <w:ind w:left="1068" w:hanging="360"/>
      </w:pPr>
      <w:rPr>
        <w:rFonts w:cs="Times New Roman" w:hint="default"/>
      </w:rPr>
    </w:lvl>
    <w:lvl w:ilvl="1" w:tplc="040C0019">
      <w:start w:val="1"/>
      <w:numFmt w:val="lowerLetter"/>
      <w:lvlText w:val="%2."/>
      <w:lvlJc w:val="left"/>
      <w:pPr>
        <w:tabs>
          <w:tab w:val="num" w:pos="1788"/>
        </w:tabs>
        <w:ind w:left="1788" w:hanging="360"/>
      </w:pPr>
      <w:rPr>
        <w:rFonts w:cs="Times New Roman"/>
      </w:rPr>
    </w:lvl>
    <w:lvl w:ilvl="2" w:tplc="040C001B">
      <w:start w:val="1"/>
      <w:numFmt w:val="lowerRoman"/>
      <w:lvlText w:val="%3."/>
      <w:lvlJc w:val="right"/>
      <w:pPr>
        <w:tabs>
          <w:tab w:val="num" w:pos="2508"/>
        </w:tabs>
        <w:ind w:left="2508" w:hanging="180"/>
      </w:pPr>
      <w:rPr>
        <w:rFonts w:cs="Times New Roman"/>
      </w:rPr>
    </w:lvl>
    <w:lvl w:ilvl="3" w:tplc="040C000F">
      <w:start w:val="1"/>
      <w:numFmt w:val="decimal"/>
      <w:lvlText w:val="%4."/>
      <w:lvlJc w:val="left"/>
      <w:pPr>
        <w:tabs>
          <w:tab w:val="num" w:pos="3228"/>
        </w:tabs>
        <w:ind w:left="3228" w:hanging="360"/>
      </w:pPr>
      <w:rPr>
        <w:rFonts w:cs="Times New Roman"/>
      </w:rPr>
    </w:lvl>
    <w:lvl w:ilvl="4" w:tplc="040C0019">
      <w:start w:val="1"/>
      <w:numFmt w:val="lowerLetter"/>
      <w:lvlText w:val="%5."/>
      <w:lvlJc w:val="left"/>
      <w:pPr>
        <w:tabs>
          <w:tab w:val="num" w:pos="3948"/>
        </w:tabs>
        <w:ind w:left="3948" w:hanging="360"/>
      </w:pPr>
      <w:rPr>
        <w:rFonts w:cs="Times New Roman"/>
      </w:rPr>
    </w:lvl>
    <w:lvl w:ilvl="5" w:tplc="040C001B">
      <w:start w:val="1"/>
      <w:numFmt w:val="lowerRoman"/>
      <w:lvlText w:val="%6."/>
      <w:lvlJc w:val="right"/>
      <w:pPr>
        <w:tabs>
          <w:tab w:val="num" w:pos="4668"/>
        </w:tabs>
        <w:ind w:left="4668" w:hanging="180"/>
      </w:pPr>
      <w:rPr>
        <w:rFonts w:cs="Times New Roman"/>
      </w:rPr>
    </w:lvl>
    <w:lvl w:ilvl="6" w:tplc="040C000F">
      <w:start w:val="1"/>
      <w:numFmt w:val="decimal"/>
      <w:lvlText w:val="%7."/>
      <w:lvlJc w:val="left"/>
      <w:pPr>
        <w:tabs>
          <w:tab w:val="num" w:pos="5388"/>
        </w:tabs>
        <w:ind w:left="5388" w:hanging="360"/>
      </w:pPr>
      <w:rPr>
        <w:rFonts w:cs="Times New Roman"/>
      </w:rPr>
    </w:lvl>
    <w:lvl w:ilvl="7" w:tplc="040C0019">
      <w:start w:val="1"/>
      <w:numFmt w:val="lowerLetter"/>
      <w:lvlText w:val="%8."/>
      <w:lvlJc w:val="left"/>
      <w:pPr>
        <w:tabs>
          <w:tab w:val="num" w:pos="6108"/>
        </w:tabs>
        <w:ind w:left="6108" w:hanging="360"/>
      </w:pPr>
      <w:rPr>
        <w:rFonts w:cs="Times New Roman"/>
      </w:rPr>
    </w:lvl>
    <w:lvl w:ilvl="8" w:tplc="040C001B">
      <w:start w:val="1"/>
      <w:numFmt w:val="lowerRoman"/>
      <w:lvlText w:val="%9."/>
      <w:lvlJc w:val="right"/>
      <w:pPr>
        <w:tabs>
          <w:tab w:val="num" w:pos="6828"/>
        </w:tabs>
        <w:ind w:left="6828" w:hanging="180"/>
      </w:pPr>
      <w:rPr>
        <w:rFonts w:cs="Times New Roman"/>
      </w:rPr>
    </w:lvl>
  </w:abstractNum>
  <w:abstractNum w:abstractNumId="1" w15:restartNumberingAfterBreak="0">
    <w:nsid w:val="0A9B17C4"/>
    <w:multiLevelType w:val="hybridMultilevel"/>
    <w:tmpl w:val="CE4610AC"/>
    <w:lvl w:ilvl="0" w:tplc="0419000F">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411331FF"/>
    <w:multiLevelType w:val="hybridMultilevel"/>
    <w:tmpl w:val="DB72302A"/>
    <w:lvl w:ilvl="0" w:tplc="283CE7B6">
      <w:start w:val="1"/>
      <w:numFmt w:val="decimal"/>
      <w:lvlText w:val="%1-"/>
      <w:lvlJc w:val="left"/>
      <w:pPr>
        <w:tabs>
          <w:tab w:val="num" w:pos="720"/>
        </w:tabs>
        <w:ind w:left="720" w:hanging="360"/>
      </w:pPr>
      <w:rPr>
        <w:rFonts w:cs="Times New Roman" w:hint="default"/>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3" w15:restartNumberingAfterBreak="0">
    <w:nsid w:val="5C37639B"/>
    <w:multiLevelType w:val="hybridMultilevel"/>
    <w:tmpl w:val="7EE82054"/>
    <w:lvl w:ilvl="0" w:tplc="040C0011">
      <w:start w:val="1"/>
      <w:numFmt w:val="decimal"/>
      <w:lvlText w:val="%1)"/>
      <w:lvlJc w:val="left"/>
      <w:pPr>
        <w:tabs>
          <w:tab w:val="num" w:pos="720"/>
        </w:tabs>
        <w:ind w:left="720" w:hanging="360"/>
      </w:pPr>
      <w:rPr>
        <w:rFonts w:cs="Times New Roman" w:hint="default"/>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529"/>
    <w:rsid w:val="00000414"/>
    <w:rsid w:val="00002ACD"/>
    <w:rsid w:val="00005142"/>
    <w:rsid w:val="000213D8"/>
    <w:rsid w:val="0002409E"/>
    <w:rsid w:val="00047A9F"/>
    <w:rsid w:val="000551A2"/>
    <w:rsid w:val="00060459"/>
    <w:rsid w:val="00077BEC"/>
    <w:rsid w:val="00082033"/>
    <w:rsid w:val="00082B01"/>
    <w:rsid w:val="00094248"/>
    <w:rsid w:val="00094C52"/>
    <w:rsid w:val="000A00BB"/>
    <w:rsid w:val="000A1FDF"/>
    <w:rsid w:val="000A2FDC"/>
    <w:rsid w:val="000A3D80"/>
    <w:rsid w:val="000A51A8"/>
    <w:rsid w:val="000B7F8C"/>
    <w:rsid w:val="000C06C5"/>
    <w:rsid w:val="000C195C"/>
    <w:rsid w:val="000D23A5"/>
    <w:rsid w:val="000E2B7A"/>
    <w:rsid w:val="000E6688"/>
    <w:rsid w:val="000F3493"/>
    <w:rsid w:val="000F79D7"/>
    <w:rsid w:val="00101EFB"/>
    <w:rsid w:val="00103081"/>
    <w:rsid w:val="00110EC5"/>
    <w:rsid w:val="00111A3E"/>
    <w:rsid w:val="0011703E"/>
    <w:rsid w:val="00142CC3"/>
    <w:rsid w:val="00143482"/>
    <w:rsid w:val="0015307A"/>
    <w:rsid w:val="001551C2"/>
    <w:rsid w:val="00161952"/>
    <w:rsid w:val="001647BD"/>
    <w:rsid w:val="00191277"/>
    <w:rsid w:val="001A10D5"/>
    <w:rsid w:val="001D2066"/>
    <w:rsid w:val="001D7B54"/>
    <w:rsid w:val="001E1991"/>
    <w:rsid w:val="001F2909"/>
    <w:rsid w:val="001F7E99"/>
    <w:rsid w:val="00217A12"/>
    <w:rsid w:val="002204DE"/>
    <w:rsid w:val="002214B5"/>
    <w:rsid w:val="00224AB3"/>
    <w:rsid w:val="0024284B"/>
    <w:rsid w:val="00257994"/>
    <w:rsid w:val="00265011"/>
    <w:rsid w:val="00267647"/>
    <w:rsid w:val="00285222"/>
    <w:rsid w:val="00290570"/>
    <w:rsid w:val="002A3131"/>
    <w:rsid w:val="002A4CAB"/>
    <w:rsid w:val="002C34A4"/>
    <w:rsid w:val="002D1635"/>
    <w:rsid w:val="002D6510"/>
    <w:rsid w:val="002E0577"/>
    <w:rsid w:val="002F061F"/>
    <w:rsid w:val="00303F2A"/>
    <w:rsid w:val="00311562"/>
    <w:rsid w:val="00314E41"/>
    <w:rsid w:val="00321232"/>
    <w:rsid w:val="003375A3"/>
    <w:rsid w:val="003404B5"/>
    <w:rsid w:val="00341991"/>
    <w:rsid w:val="003420F0"/>
    <w:rsid w:val="003436F0"/>
    <w:rsid w:val="003566FD"/>
    <w:rsid w:val="00372530"/>
    <w:rsid w:val="003819D9"/>
    <w:rsid w:val="003835FC"/>
    <w:rsid w:val="00396C62"/>
    <w:rsid w:val="003B49A9"/>
    <w:rsid w:val="003C3F73"/>
    <w:rsid w:val="003C6886"/>
    <w:rsid w:val="003E4BFA"/>
    <w:rsid w:val="003F1B3E"/>
    <w:rsid w:val="003F77B1"/>
    <w:rsid w:val="0041741B"/>
    <w:rsid w:val="004308EF"/>
    <w:rsid w:val="00434BA8"/>
    <w:rsid w:val="004425E2"/>
    <w:rsid w:val="00443E2B"/>
    <w:rsid w:val="004451F1"/>
    <w:rsid w:val="00447F02"/>
    <w:rsid w:val="00452419"/>
    <w:rsid w:val="00456C97"/>
    <w:rsid w:val="004779D8"/>
    <w:rsid w:val="00482A9C"/>
    <w:rsid w:val="00482F23"/>
    <w:rsid w:val="00485A8E"/>
    <w:rsid w:val="004875FF"/>
    <w:rsid w:val="00491587"/>
    <w:rsid w:val="00495605"/>
    <w:rsid w:val="00497BC0"/>
    <w:rsid w:val="004A7519"/>
    <w:rsid w:val="004C223B"/>
    <w:rsid w:val="004C32DC"/>
    <w:rsid w:val="004D42E6"/>
    <w:rsid w:val="004F2D58"/>
    <w:rsid w:val="004F4504"/>
    <w:rsid w:val="005152A8"/>
    <w:rsid w:val="0052638A"/>
    <w:rsid w:val="00526D36"/>
    <w:rsid w:val="00541329"/>
    <w:rsid w:val="00553FF5"/>
    <w:rsid w:val="00556C41"/>
    <w:rsid w:val="00562175"/>
    <w:rsid w:val="00571D09"/>
    <w:rsid w:val="00573A2A"/>
    <w:rsid w:val="00573DFB"/>
    <w:rsid w:val="00575652"/>
    <w:rsid w:val="0057759C"/>
    <w:rsid w:val="005911CF"/>
    <w:rsid w:val="00597D20"/>
    <w:rsid w:val="005A406D"/>
    <w:rsid w:val="005B07C8"/>
    <w:rsid w:val="005B42B6"/>
    <w:rsid w:val="005B5BB7"/>
    <w:rsid w:val="005B5C8A"/>
    <w:rsid w:val="005C66E8"/>
    <w:rsid w:val="005D71F7"/>
    <w:rsid w:val="005E5F5D"/>
    <w:rsid w:val="005F2893"/>
    <w:rsid w:val="005F55D0"/>
    <w:rsid w:val="00610427"/>
    <w:rsid w:val="0062747F"/>
    <w:rsid w:val="006337A1"/>
    <w:rsid w:val="00642815"/>
    <w:rsid w:val="00651851"/>
    <w:rsid w:val="00660092"/>
    <w:rsid w:val="00665EA3"/>
    <w:rsid w:val="00666CF9"/>
    <w:rsid w:val="00667633"/>
    <w:rsid w:val="006741BB"/>
    <w:rsid w:val="00677B75"/>
    <w:rsid w:val="0068497E"/>
    <w:rsid w:val="0068794F"/>
    <w:rsid w:val="006F0589"/>
    <w:rsid w:val="006F0F5E"/>
    <w:rsid w:val="00715542"/>
    <w:rsid w:val="007323DC"/>
    <w:rsid w:val="00734454"/>
    <w:rsid w:val="007354CC"/>
    <w:rsid w:val="00736ADC"/>
    <w:rsid w:val="007471D6"/>
    <w:rsid w:val="00756031"/>
    <w:rsid w:val="0076123F"/>
    <w:rsid w:val="007717AD"/>
    <w:rsid w:val="00776DA5"/>
    <w:rsid w:val="007915E4"/>
    <w:rsid w:val="007B7F09"/>
    <w:rsid w:val="007C2C2C"/>
    <w:rsid w:val="007D5E61"/>
    <w:rsid w:val="007E011C"/>
    <w:rsid w:val="007E0342"/>
    <w:rsid w:val="007E4833"/>
    <w:rsid w:val="007F4162"/>
    <w:rsid w:val="007F4B25"/>
    <w:rsid w:val="00806209"/>
    <w:rsid w:val="00815209"/>
    <w:rsid w:val="00821344"/>
    <w:rsid w:val="00822F62"/>
    <w:rsid w:val="00824082"/>
    <w:rsid w:val="008257D9"/>
    <w:rsid w:val="00831E6A"/>
    <w:rsid w:val="008538BA"/>
    <w:rsid w:val="008542CF"/>
    <w:rsid w:val="00857C57"/>
    <w:rsid w:val="00884B12"/>
    <w:rsid w:val="0089097F"/>
    <w:rsid w:val="008A54EA"/>
    <w:rsid w:val="008B00EB"/>
    <w:rsid w:val="008D1009"/>
    <w:rsid w:val="008D320D"/>
    <w:rsid w:val="008E6C72"/>
    <w:rsid w:val="009137B0"/>
    <w:rsid w:val="0091465F"/>
    <w:rsid w:val="00916499"/>
    <w:rsid w:val="009208CC"/>
    <w:rsid w:val="00930F4C"/>
    <w:rsid w:val="00931702"/>
    <w:rsid w:val="009317BB"/>
    <w:rsid w:val="00933766"/>
    <w:rsid w:val="00934D4D"/>
    <w:rsid w:val="00955B57"/>
    <w:rsid w:val="00956F1A"/>
    <w:rsid w:val="00971BBB"/>
    <w:rsid w:val="0097426C"/>
    <w:rsid w:val="00976D7D"/>
    <w:rsid w:val="009832F9"/>
    <w:rsid w:val="00986185"/>
    <w:rsid w:val="009C3865"/>
    <w:rsid w:val="009D08B2"/>
    <w:rsid w:val="009E15EA"/>
    <w:rsid w:val="009E54A6"/>
    <w:rsid w:val="009F4BC7"/>
    <w:rsid w:val="009F7541"/>
    <w:rsid w:val="00A05727"/>
    <w:rsid w:val="00A073F7"/>
    <w:rsid w:val="00A1741E"/>
    <w:rsid w:val="00A27961"/>
    <w:rsid w:val="00A32DC0"/>
    <w:rsid w:val="00A63D05"/>
    <w:rsid w:val="00A64338"/>
    <w:rsid w:val="00A74A6D"/>
    <w:rsid w:val="00A7791A"/>
    <w:rsid w:val="00A9486D"/>
    <w:rsid w:val="00AA236B"/>
    <w:rsid w:val="00AA3982"/>
    <w:rsid w:val="00AA3CB3"/>
    <w:rsid w:val="00AB3AD3"/>
    <w:rsid w:val="00AD1DC6"/>
    <w:rsid w:val="00AD6F4C"/>
    <w:rsid w:val="00AF4F18"/>
    <w:rsid w:val="00B07CC6"/>
    <w:rsid w:val="00B2462C"/>
    <w:rsid w:val="00B40E79"/>
    <w:rsid w:val="00B55907"/>
    <w:rsid w:val="00B76D94"/>
    <w:rsid w:val="00BA05B3"/>
    <w:rsid w:val="00BA0C60"/>
    <w:rsid w:val="00BB353F"/>
    <w:rsid w:val="00BC1DFE"/>
    <w:rsid w:val="00BC4413"/>
    <w:rsid w:val="00BC602F"/>
    <w:rsid w:val="00BC7B88"/>
    <w:rsid w:val="00C013CE"/>
    <w:rsid w:val="00C040A2"/>
    <w:rsid w:val="00C21F8A"/>
    <w:rsid w:val="00C27F7D"/>
    <w:rsid w:val="00C339EF"/>
    <w:rsid w:val="00C34DD4"/>
    <w:rsid w:val="00C50531"/>
    <w:rsid w:val="00C51FFC"/>
    <w:rsid w:val="00C77C0B"/>
    <w:rsid w:val="00C93E93"/>
    <w:rsid w:val="00C9703B"/>
    <w:rsid w:val="00CC116D"/>
    <w:rsid w:val="00CD327A"/>
    <w:rsid w:val="00CD50D2"/>
    <w:rsid w:val="00CE08ED"/>
    <w:rsid w:val="00CE2F2F"/>
    <w:rsid w:val="00CE54F8"/>
    <w:rsid w:val="00D05B48"/>
    <w:rsid w:val="00D05EE5"/>
    <w:rsid w:val="00D31977"/>
    <w:rsid w:val="00D3297F"/>
    <w:rsid w:val="00D34096"/>
    <w:rsid w:val="00D451E4"/>
    <w:rsid w:val="00D46EFE"/>
    <w:rsid w:val="00D5556A"/>
    <w:rsid w:val="00D5768F"/>
    <w:rsid w:val="00D64C4F"/>
    <w:rsid w:val="00D754D6"/>
    <w:rsid w:val="00D76E4D"/>
    <w:rsid w:val="00D77FC4"/>
    <w:rsid w:val="00D93887"/>
    <w:rsid w:val="00D96E25"/>
    <w:rsid w:val="00DB61BE"/>
    <w:rsid w:val="00DC0108"/>
    <w:rsid w:val="00DC3ED0"/>
    <w:rsid w:val="00DD3DB6"/>
    <w:rsid w:val="00DD425B"/>
    <w:rsid w:val="00DD581A"/>
    <w:rsid w:val="00DE34D1"/>
    <w:rsid w:val="00DF3BF0"/>
    <w:rsid w:val="00E07849"/>
    <w:rsid w:val="00E3018B"/>
    <w:rsid w:val="00E33BB1"/>
    <w:rsid w:val="00E342A0"/>
    <w:rsid w:val="00E3535F"/>
    <w:rsid w:val="00E42626"/>
    <w:rsid w:val="00E448D4"/>
    <w:rsid w:val="00E46ACD"/>
    <w:rsid w:val="00E500C1"/>
    <w:rsid w:val="00E53221"/>
    <w:rsid w:val="00E542EE"/>
    <w:rsid w:val="00E56529"/>
    <w:rsid w:val="00E61FD0"/>
    <w:rsid w:val="00E65DDB"/>
    <w:rsid w:val="00E669B1"/>
    <w:rsid w:val="00E732DC"/>
    <w:rsid w:val="00E73CBE"/>
    <w:rsid w:val="00E74A2F"/>
    <w:rsid w:val="00E959BA"/>
    <w:rsid w:val="00EA5D06"/>
    <w:rsid w:val="00EB1E7E"/>
    <w:rsid w:val="00EB3D4E"/>
    <w:rsid w:val="00EB5642"/>
    <w:rsid w:val="00EB6C13"/>
    <w:rsid w:val="00EC2AA1"/>
    <w:rsid w:val="00EC5FB5"/>
    <w:rsid w:val="00ED33B4"/>
    <w:rsid w:val="00ED6294"/>
    <w:rsid w:val="00EE0D61"/>
    <w:rsid w:val="00EE588C"/>
    <w:rsid w:val="00EF37A3"/>
    <w:rsid w:val="00EF5802"/>
    <w:rsid w:val="00F0024E"/>
    <w:rsid w:val="00F03DF5"/>
    <w:rsid w:val="00F2587F"/>
    <w:rsid w:val="00F27087"/>
    <w:rsid w:val="00F33A97"/>
    <w:rsid w:val="00F33B81"/>
    <w:rsid w:val="00F506C8"/>
    <w:rsid w:val="00F517FB"/>
    <w:rsid w:val="00F814B6"/>
    <w:rsid w:val="00F8449C"/>
    <w:rsid w:val="00F854FC"/>
    <w:rsid w:val="00FB59E0"/>
    <w:rsid w:val="00FC0133"/>
    <w:rsid w:val="00FD4E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efaultImageDpi w14:val="0"/>
  <w15:docId w15:val="{972ADD17-C8E1-4D61-95F5-CE298FBC1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fr-FR" w:eastAsia="fr-FR"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spacing w:after="0" w:line="240" w:lineRule="auto"/>
    </w:pPr>
    <w:rPr>
      <w:sz w:val="24"/>
      <w:szCs w:val="24"/>
    </w:rPr>
  </w:style>
  <w:style w:type="paragraph" w:styleId="Titre1">
    <w:name w:val="heading 1"/>
    <w:basedOn w:val="Normal"/>
    <w:next w:val="Normal"/>
    <w:link w:val="Titre1Car"/>
    <w:uiPriority w:val="99"/>
    <w:qFormat/>
    <w:rsid w:val="00666CF9"/>
    <w:pPr>
      <w:keepNext/>
      <w:spacing w:before="240" w:after="60"/>
      <w:outlineLvl w:val="0"/>
    </w:pPr>
    <w:rPr>
      <w:rFonts w:ascii="Arial" w:hAnsi="Arial" w:cs="Arial"/>
      <w:b/>
      <w:bCs/>
      <w:kern w:val="32"/>
      <w:sz w:val="32"/>
      <w:szCs w:val="32"/>
    </w:rPr>
  </w:style>
  <w:style w:type="paragraph" w:styleId="Titre2">
    <w:name w:val="heading 2"/>
    <w:basedOn w:val="Normal"/>
    <w:next w:val="Normal"/>
    <w:link w:val="Titre2Car"/>
    <w:uiPriority w:val="99"/>
    <w:qFormat/>
    <w:rsid w:val="00666CF9"/>
    <w:pPr>
      <w:keepNext/>
      <w:spacing w:before="240" w:after="60"/>
      <w:outlineLvl w:val="1"/>
    </w:pPr>
    <w:rPr>
      <w:rFonts w:ascii="Arial" w:hAnsi="Arial" w:cs="Arial"/>
      <w:b/>
      <w:bCs/>
      <w:i/>
      <w:iCs/>
      <w:sz w:val="28"/>
      <w:szCs w:val="28"/>
    </w:rPr>
  </w:style>
  <w:style w:type="character" w:default="1" w:styleId="Policepardfaut">
    <w:name w:val="Default Paragraph Font"/>
    <w:uiPriority w:val="99"/>
    <w:semiHidden/>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Theme="majorHAnsi" w:eastAsiaTheme="majorEastAsia" w:hAnsiTheme="majorHAnsi" w:cstheme="majorBidi"/>
      <w:b/>
      <w:bCs/>
      <w:kern w:val="32"/>
      <w:sz w:val="32"/>
      <w:szCs w:val="32"/>
    </w:rPr>
  </w:style>
  <w:style w:type="character" w:customStyle="1" w:styleId="Titre2Car">
    <w:name w:val="Titre 2 Car"/>
    <w:basedOn w:val="Policepardfaut"/>
    <w:link w:val="Titre2"/>
    <w:uiPriority w:val="9"/>
    <w:semiHidden/>
    <w:rPr>
      <w:rFonts w:asciiTheme="majorHAnsi" w:eastAsiaTheme="majorEastAsia" w:hAnsiTheme="majorHAnsi" w:cstheme="majorBidi"/>
      <w:b/>
      <w:bCs/>
      <w:i/>
      <w:iCs/>
      <w:sz w:val="28"/>
      <w:szCs w:val="28"/>
    </w:rPr>
  </w:style>
  <w:style w:type="paragraph" w:styleId="Textedebulles">
    <w:name w:val="Balloon Text"/>
    <w:basedOn w:val="Normal"/>
    <w:link w:val="TextedebullesCar"/>
    <w:uiPriority w:val="99"/>
    <w:semiHidden/>
    <w:rsid w:val="008E6C72"/>
    <w:rPr>
      <w:rFonts w:ascii="Tahoma" w:hAnsi="Tahoma" w:cs="Tahoma"/>
      <w:sz w:val="16"/>
      <w:szCs w:val="16"/>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paragraph" w:styleId="Pieddepage">
    <w:name w:val="footer"/>
    <w:basedOn w:val="Normal"/>
    <w:link w:val="PieddepageCar"/>
    <w:uiPriority w:val="99"/>
    <w:rsid w:val="00AA236B"/>
    <w:pPr>
      <w:tabs>
        <w:tab w:val="center" w:pos="4536"/>
        <w:tab w:val="right" w:pos="9072"/>
      </w:tabs>
    </w:pPr>
  </w:style>
  <w:style w:type="character" w:customStyle="1" w:styleId="PieddepageCar">
    <w:name w:val="Pied de page Car"/>
    <w:basedOn w:val="Policepardfaut"/>
    <w:link w:val="Pieddepage"/>
    <w:uiPriority w:val="99"/>
    <w:semiHidden/>
    <w:rPr>
      <w:sz w:val="24"/>
      <w:szCs w:val="24"/>
    </w:rPr>
  </w:style>
  <w:style w:type="character" w:styleId="Numrodepage">
    <w:name w:val="page number"/>
    <w:basedOn w:val="Policepardfaut"/>
    <w:uiPriority w:val="99"/>
    <w:rsid w:val="00AA236B"/>
    <w:rPr>
      <w:rFonts w:cs="Times New Roman"/>
    </w:rPr>
  </w:style>
  <w:style w:type="paragraph" w:styleId="Notedebasdepage">
    <w:name w:val="footnote text"/>
    <w:basedOn w:val="Normal"/>
    <w:link w:val="NotedebasdepageCar"/>
    <w:uiPriority w:val="99"/>
    <w:semiHidden/>
    <w:rsid w:val="004F4504"/>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rsid w:val="004F4504"/>
    <w:rPr>
      <w:rFonts w:cs="Times New Roman"/>
      <w:vertAlign w:val="superscript"/>
    </w:rPr>
  </w:style>
  <w:style w:type="paragraph" w:styleId="Explorateurdedocuments">
    <w:name w:val="Document Map"/>
    <w:basedOn w:val="Normal"/>
    <w:link w:val="ExplorateurdedocumentsCar"/>
    <w:uiPriority w:val="99"/>
    <w:semiHidden/>
    <w:rsid w:val="00666CF9"/>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uiPriority w:val="99"/>
    <w:semiHidden/>
    <w:rPr>
      <w:rFonts w:ascii="Segoe UI" w:hAnsi="Segoe UI" w:cs="Segoe UI"/>
      <w:sz w:val="16"/>
      <w:szCs w:val="16"/>
    </w:rPr>
  </w:style>
  <w:style w:type="character" w:styleId="Lienhypertexte">
    <w:name w:val="Hyperlink"/>
    <w:basedOn w:val="Policepardfaut"/>
    <w:uiPriority w:val="99"/>
    <w:rsid w:val="007E011C"/>
    <w:rPr>
      <w:rFonts w:cs="Times New Roman"/>
      <w:color w:val="0000FF"/>
      <w:u w:val="single"/>
    </w:rPr>
  </w:style>
  <w:style w:type="table" w:styleId="Grilledutableau">
    <w:name w:val="Table Grid"/>
    <w:basedOn w:val="TableauNormal"/>
    <w:uiPriority w:val="99"/>
    <w:rsid w:val="00491587"/>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1">
    <w:name w:val="toc 1"/>
    <w:basedOn w:val="Normal"/>
    <w:next w:val="Normal"/>
    <w:autoRedefine/>
    <w:uiPriority w:val="99"/>
    <w:semiHidden/>
    <w:rsid w:val="00491587"/>
  </w:style>
  <w:style w:type="paragraph" w:styleId="TM2">
    <w:name w:val="toc 2"/>
    <w:basedOn w:val="Normal"/>
    <w:next w:val="Normal"/>
    <w:autoRedefine/>
    <w:uiPriority w:val="99"/>
    <w:semiHidden/>
    <w:rsid w:val="00491587"/>
    <w:pPr>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book.coe.int/FR/ficheouvrage.php?PAGEID=36&amp;lang=FR&amp;produit_aliasid=1686" TargetMode="External"/><Relationship Id="rId1" Type="http://schemas.openxmlformats.org/officeDocument/2006/relationships/hyperlink" Target="http://unesdoc.unesco.org/images/0012/001233/123333f.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5439</Words>
  <Characters>29917</Characters>
  <Application>Microsoft Office Word</Application>
  <DocSecurity>0</DocSecurity>
  <Lines>249</Lines>
  <Paragraphs>70</Paragraphs>
  <ScaleCrop>false</ScaleCrop>
  <HeadingPairs>
    <vt:vector size="2" baseType="variant">
      <vt:variant>
        <vt:lpstr>Titre</vt:lpstr>
      </vt:variant>
      <vt:variant>
        <vt:i4>1</vt:i4>
      </vt:variant>
    </vt:vector>
  </HeadingPairs>
  <TitlesOfParts>
    <vt:vector size="1" baseType="lpstr">
      <vt:lpstr>Colloque « La langue et l’intégration des immigrants »</vt:lpstr>
    </vt:vector>
  </TitlesOfParts>
  <Company>Université Nancy 2</Company>
  <LinksUpToDate>false</LinksUpToDate>
  <CharactersWithSpaces>35286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Colloque « La langue et l’intégration des immigrants »</dc:title>
  <dc:subject/>
  <dc:creator>herve</dc:creator>
  <cp:keywords/>
  <dc:description/>
  <cp:lastModifiedBy>Thierry</cp:lastModifiedBy>
  <cp:revision>2</cp:revision>
  <cp:lastPrinted>2008-04-18T17:22:00Z</cp:lastPrinted>
  <dcterms:created xsi:type="dcterms:W3CDTF">2017-06-21T13:03:00Z</dcterms:created>
  <dcterms:modified xsi:type="dcterms:W3CDTF">2017-06-21T13:03:00Z</dcterms:modified>
</cp:coreProperties>
</file>