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p>
      <w:pPr>
        <w:pStyle w:val="3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Билет 9</w:t>
      </w:r>
      <w:r>
        <w:rPr>
          <w:b/>
        </w:rPr>
      </w:r>
    </w:p>
    <w:p>
      <w:pPr>
        <w:pStyle w:val="3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ru-RU"/>
        </w:rPr>
        <w:t xml:space="preserve">Заключение Люблинской унии. Статут 1588 года</w:t>
      </w:r>
      <w:r>
        <w:rPr>
          <w:b/>
          <w:sz w:val="28"/>
          <w:szCs w:val="28"/>
          <w:u w:val="single"/>
          <w:lang w:val="ru-RU"/>
        </w:rPr>
      </w:r>
    </w:p>
    <w:p>
      <w:pPr>
        <w:pStyle w:val="31"/>
        <w:jc w:val="lef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ru-RU"/>
        </w:rPr>
        <w:t xml:space="preserve">План ответа:</w:t>
      </w:r>
      <w:r>
        <w:rPr>
          <w:b/>
          <w:color w:val="000000" w:themeColor="text1"/>
          <w:sz w:val="28"/>
          <w:szCs w:val="28"/>
          <w:lang w:val="ru-RU"/>
        </w:rPr>
      </w:r>
    </w:p>
    <w:p>
      <w:pPr>
        <w:pStyle w:val="31"/>
        <w:jc w:val="lef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ru-RU"/>
        </w:rPr>
        <w:t xml:space="preserve">1.Причины объединения ВКЛ и Польши</w:t>
      </w:r>
      <w:r>
        <w:rPr>
          <w:b/>
          <w:color w:val="000000" w:themeColor="text1"/>
          <w:sz w:val="28"/>
          <w:szCs w:val="28"/>
          <w:lang w:val="ru-RU"/>
        </w:rPr>
      </w:r>
    </w:p>
    <w:p>
      <w:pPr>
        <w:pStyle w:val="31"/>
        <w:jc w:val="lef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ru-RU"/>
        </w:rPr>
        <w:t xml:space="preserve">2.Условия объединения</w:t>
      </w:r>
      <w:r>
        <w:rPr>
          <w:b/>
          <w:color w:val="000000" w:themeColor="text1"/>
          <w:sz w:val="28"/>
          <w:szCs w:val="28"/>
          <w:lang w:val="ru-RU"/>
        </w:rPr>
      </w:r>
    </w:p>
    <w:p>
      <w:pPr>
        <w:pStyle w:val="31"/>
        <w:jc w:val="lef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ru-RU"/>
        </w:rPr>
        <w:t xml:space="preserve">3.Итоги Люблинской унии</w:t>
      </w:r>
      <w:r>
        <w:rPr>
          <w:b/>
          <w:color w:val="000000" w:themeColor="text1"/>
          <w:sz w:val="28"/>
          <w:szCs w:val="28"/>
          <w:lang w:val="ru-RU"/>
        </w:rPr>
      </w:r>
    </w:p>
    <w:p>
      <w:pPr>
        <w:pStyle w:val="31"/>
        <w:jc w:val="lef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ru-RU"/>
        </w:rPr>
        <w:t xml:space="preserve">4.Принятие третьего Статута ВКЛ</w:t>
      </w:r>
      <w:r>
        <w:rPr>
          <w:b/>
          <w:color w:val="000000" w:themeColor="text1"/>
          <w:sz w:val="28"/>
          <w:szCs w:val="28"/>
          <w:lang w:val="ru-RU"/>
        </w:rPr>
      </w:r>
    </w:p>
    <w:p>
      <w:pPr>
        <w:pStyle w:val="31"/>
        <w:jc w:val="lef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ru-RU"/>
        </w:rPr>
      </w:r>
      <w:r>
        <w:rPr>
          <w:b/>
          <w:color w:val="000000" w:themeColor="text1"/>
          <w:sz w:val="28"/>
          <w:szCs w:val="28"/>
          <w:lang w:val="ru-RU"/>
        </w:rPr>
      </w:r>
    </w:p>
    <w:p>
      <w:pPr>
        <w:ind w:hanging="0"/>
        <w:jc w:val="both"/>
        <w:spacing w:after="480" w:before="0"/>
        <w:shd w:val="clear" w:color="auto" w:fill="FFFFFF"/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Государство Речь Посполитая представляло собой союз ВКЛ и Польского королевства. Он был создан 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  <w:t xml:space="preserve">1 июля 1569 г.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в результате Люблинской унии и просуществовал до конца XVIII в</w:t>
      </w:r>
      <w:r>
        <w:rPr>
          <w:rFonts w:ascii="Open Sans" w:hAnsi="Open Sans" w:cs="Open Sans" w:eastAsia="Open Sans"/>
          <w:color w:val="000000" w:themeColor="text1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В переводе с польского означает Речь Посполитая «общее дело» — то же, что и республика, </w:t>
      </w:r>
      <w:r>
        <w:rPr>
          <w:color w:val="000000" w:themeColor="text1"/>
          <w:sz w:val="28"/>
        </w:rPr>
      </w:r>
    </w:p>
    <w:p>
      <w:pPr>
        <w:pStyle w:val="31"/>
        <w:jc w:val="left"/>
        <w:rPr>
          <w:color w:val="000000" w:themeColor="text1"/>
          <w:sz w:val="28"/>
        </w:rPr>
      </w:pPr>
      <w:r>
        <w:rPr>
          <w:b/>
          <w:color w:val="000000" w:themeColor="text1"/>
          <w:sz w:val="28"/>
          <w:szCs w:val="28"/>
          <w:lang w:val="ru-RU"/>
        </w:rPr>
        <w:t xml:space="preserve">1.Причины объединения ВКЛ и Польши</w:t>
      </w:r>
      <w:r>
        <w:rPr>
          <w:b/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</w:rPr>
      </w:r>
    </w:p>
    <w:p>
      <w:pPr>
        <w:pStyle w:val="31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а) тяжелое внешнеполитическое положение ВКЛ в связи с Ливонской войной 1558—1583 гг., которую вел за выход к Балтийскому морю московский царь Иван IV. Он считал белорусские земли своей вотчиной и стремился «вернуть» их в состав Московского государства;</w:t>
      </w:r>
      <w:r>
        <w:rPr>
          <w:color w:val="000000" w:themeColor="text1"/>
          <w:sz w:val="28"/>
        </w:rPr>
      </w:r>
    </w:p>
    <w:p>
      <w:pPr>
        <w:pStyle w:val="31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б) стремление господствующего сословия ВКЛ — шляхты (мелких и средних феодалов) — к приобретению шляхетских вольностей, которыми обладала шляхета Польши, что позволяло ей активно участвовать в политике, обеспечивало право на протест, свободу голоса, неприкосновенность личности и владений (поместья);</w:t>
      </w:r>
      <w:r>
        <w:rPr>
          <w:color w:val="000000" w:themeColor="text1"/>
          <w:sz w:val="28"/>
        </w:rPr>
      </w:r>
    </w:p>
    <w:p>
      <w:pPr>
        <w:pStyle w:val="31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в)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желание польской шляхты подчинить ВКЛ в качестве богатого придатка Польши и получить для себя новые земли и должности;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31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г)расчет верхушки католической церкви расширить влияние католицизма на белорусские земли.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31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31"/>
        <w:jc w:val="left"/>
        <w:rPr>
          <w:color w:val="000000" w:themeColor="text1"/>
          <w:sz w:val="28"/>
        </w:rPr>
      </w:pPr>
      <w:r>
        <w:rPr>
          <w:b/>
          <w:color w:val="000000" w:themeColor="text1"/>
          <w:sz w:val="28"/>
          <w:szCs w:val="28"/>
          <w:lang w:val="ru-RU"/>
        </w:rPr>
        <w:t xml:space="preserve">2.Условия объединения</w:t>
      </w:r>
      <w:r>
        <w:rPr>
          <w:b/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</w:rPr>
      </w:r>
    </w:p>
    <w:p>
      <w:pPr>
        <w:pStyle w:val="31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ind w:hanging="0"/>
        <w:jc w:val="both"/>
        <w:spacing w:after="480" w:before="0"/>
        <w:shd w:val="clear" w:color="auto" w:fill="FFFFFF"/>
        <w:rPr>
          <w:rFonts w:ascii="Times New Roman" w:hAnsi="Times New Roman" w:cs="Times New Roman" w:eastAsia="Times New Roman"/>
          <w:color w:val="000000" w:themeColor="text1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Условия объединения Польши и ВКЛ были выработаны на Люблинском сейме, который состоялся в 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  <w:t xml:space="preserve">1569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г. и длился 6 месяцев. Польская сторона стремилась к инкорпорации (включение, присоединение) ВКЛ в состав Польши (Короны), опираясь на католических феодалов и католическую церковь. Делегация ВКЛ во главе с канцлером ВКЛ Николаем Радзивиллом Рыжим выступала за заключение равноправного союза с Польшей. Польской стороне на сейме удалось добиться от Сигизмунда II Августа значительных территориальных уступок. К Польше отошли украинские земли.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ВКЛ было вынуждено принять многие из польских условий объединения двух государств. Высшим общим органом власти становился сейм, который мог собираться только на территории Польши (отдельные сеймы как для Польши, так и для ВКЛ не предусматривались). Глава союза государств, которого могли избирать феодалы Польши и ВКЛ, также был общим. Так, король Речи Посполитой Стефан Баторий был признан шляхтой ВКЛ также и своим великим князем.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ind w:hanging="0"/>
        <w:jc w:val="both"/>
        <w:spacing w:after="480" w:before="0"/>
        <w:shd w:val="clear" w:color="auto" w:fill="FFFFFF"/>
        <w:rPr>
          <w:rFonts w:ascii="Times New Roman" w:hAnsi="Times New Roman" w:cs="Times New Roman" w:eastAsia="Times New Roman"/>
          <w:color w:val="000000" w:themeColor="text1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31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Отдельными в ВКЛ и Польше по условиям Люблинской унии сохранялись: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31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— административный аппарат (государственные должности);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31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— законодательство, представленное в ВКЛ Статутами;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31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— судебная организация, при которой высшим судебным органом в ВКЛ являлся с 1581 г. Главный трибунал ВКЛ;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31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— войско, основой которого в XVI в. в ВКЛ являлось посполитое рушение — всеобщее ополчение, состоявшее из шляхты и солдат (жолнеров) — военнообязанных мужчин, которых выставлял от своих земельных владений каждый шляхтич;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31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— титул, то есть официальные названия государств при существовании общего названия «Речь Посполитая»; печать с символом государства (в ВКЛ — изображение погони, в Польше — изображение орла);</w:t>
      </w:r>
      <w:r/>
    </w:p>
    <w:p>
      <w:pPr>
        <w:pStyle w:val="31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— язык официального делопроизводства (старобелорусский — в ВКЛ, польский и латынь — в Польше).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31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31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Таким образом, ВКЛ вместе с Польшей создали общую Речь Посполитую. Такое объединение двух соседних государств называется 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  <w:t xml:space="preserve">федерацией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— государством, состоящим из самостоятельных государственных образований, объединенных на определенных условиях в одну страну.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31"/>
        <w:jc w:val="left"/>
        <w:rPr>
          <w:color w:val="000000"/>
        </w:rPr>
      </w:pPr>
      <w:r>
        <w:rPr>
          <w:b/>
          <w:color w:val="000000" w:themeColor="text1"/>
          <w:sz w:val="28"/>
          <w:szCs w:val="28"/>
          <w:lang w:val="ru-RU"/>
        </w:rPr>
        <w:t xml:space="preserve">3.Итоги Люблинской унии</w:t>
      </w:r>
      <w:r>
        <w:rPr>
          <w:b/>
          <w:color w:val="000000" w:themeColor="text1"/>
          <w:sz w:val="28"/>
          <w:szCs w:val="28"/>
        </w:rPr>
      </w:r>
      <w:r/>
    </w:p>
    <w:p>
      <w:pPr>
        <w:pStyle w:val="31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   1. Ряд богатейших земель были включены в состав Польши, из-за чего территория ВКЛ существенно уменьшилась. </w:t>
      </w:r>
      <w:r/>
    </w:p>
    <w:p>
      <w:pPr>
        <w:pStyle w:val="31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   2.Люблинская уния вызвала недовольство большей части магнатов ВКЛ, которым нужно было делить политическую власть с поляками. </w:t>
      </w:r>
      <w:r/>
    </w:p>
    <w:p>
      <w:pPr>
        <w:pStyle w:val="31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   3.Польская шляхта имела право получать земельные владения в пределах ВКЛ, а шляхта ВКЛ практически утратила такое право в районах, присоединенных к Польскому королевству.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31"/>
        <w:ind w:left="0" w:right="0" w:firstLine="425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4.Стало проявляться полонизация (ополячивании) шляхты ВКЛ через приобщение ее к польским шляхетским вольностям. В 1697 г. было принято постановление «Уравнение прав», в соответствии с которым шляхта ВКЛ полностью уравнивалась в правах с польской. </w:t>
      </w:r>
      <w:r/>
    </w:p>
    <w:p>
      <w:pPr>
        <w:ind w:left="0" w:right="0" w:firstLine="425"/>
        <w:jc w:val="both"/>
        <w:spacing w:after="480" w:before="0"/>
        <w:shd w:val="clear" w:color="auto" w:fill="FFFFFF"/>
        <w:rPr>
          <w:rFonts w:ascii="Times New Roman" w:hAnsi="Times New Roman" w:cs="Times New Roman" w:eastAsia="Times New Roman"/>
          <w:color w:val="000000" w:themeColor="text1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5.Шляхте ВКЛ, как и польской, было дано право полного контроля за деятельностью короля, что значительно ограничивало его власть и давало шляхте возможность не подчиняться ему. Шляхта ВКЛ приняла польский язык и польскую культуру постепенно перешла в католичество. </w:t>
      </w:r>
      <w:r/>
    </w:p>
    <w:p>
      <w:pPr>
        <w:pStyle w:val="31"/>
        <w:jc w:val="left"/>
        <w:rPr>
          <w:color w:val="000000"/>
        </w:rPr>
      </w:pPr>
      <w:r>
        <w:rPr>
          <w:b/>
          <w:color w:val="000000" w:themeColor="text1"/>
          <w:sz w:val="28"/>
          <w:szCs w:val="28"/>
          <w:lang w:val="ru-RU"/>
        </w:rPr>
        <w:t xml:space="preserve">4.Принятие третьего Статута ВКЛ</w:t>
      </w:r>
      <w:r>
        <w:rPr>
          <w:b/>
          <w:color w:val="000000" w:themeColor="text1"/>
          <w:sz w:val="28"/>
          <w:szCs w:val="28"/>
        </w:rPr>
      </w:r>
      <w:r/>
    </w:p>
    <w:p>
      <w:pPr>
        <w:ind w:left="0" w:right="0" w:firstLine="425"/>
        <w:jc w:val="both"/>
        <w:spacing w:after="480" w:before="0"/>
        <w:shd w:val="clear" w:color="auto" w:fill="FFFFFF"/>
        <w:rPr>
          <w:rFonts w:ascii="Times New Roman" w:hAnsi="Times New Roman" w:cs="Times New Roman" w:eastAsia="Times New Roman"/>
          <w:color w:val="000000" w:themeColor="text1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Статут стало воплощением антииольских настроений и борьбы за сохранение самостоятельности ВКЛ. Статут был подготовлен при участии канцлера ВКЛ Астафия Воловича и подканцлера Льва Сапеги. Он игнорировал акт Люблинской унии, закреплял и юридически оформлял независимость княжества. Статут обязывал правительство вернуть отторгнутые от княжества земли, запрещал назначать на государственные должности в ВКЛ и наделять землей «чужеземцев и заграничников», в том числе и поляков.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Лев Сапега на свои средства издал третий Статут ВКЛ. Во вступлении к нему он сформулировал идею правового государства. Она заключалась в том, что все государственные органы и служебные лица должны действовать согласно закону, а все люди, независимо от сословия, к которому они принадлежат, провозглашаются равными перед законом.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sectPr>
      <w:footnotePr/>
      <w:type w:val="nextPage"/>
      <w:pgSz w:w="11906" w:h="16838"/>
      <w:pgMar w:top="540" w:right="566" w:bottom="899" w:left="900" w:gutter="0" w:header="708" w:footer="708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panose1 w:val="020B0606030504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omic Sans MS">
    <w:panose1 w:val="030F07020303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156"/>
        <w:ind w:left="720" w:hanging="359"/>
      </w:pPr>
    </w:lvl>
    <w:lvl w:ilvl="1">
      <w:start w:val="1"/>
      <w:numFmt w:val="lowerLetter"/>
      <w:suff w:val="tab"/>
      <w:lvlText w:val="%2."/>
      <w:lvlJc w:val="left"/>
      <w:pPr>
        <w:pStyle w:val="156"/>
        <w:ind w:left="1440" w:hanging="359"/>
      </w:pPr>
    </w:lvl>
    <w:lvl w:ilvl="2">
      <w:start w:val="1"/>
      <w:numFmt w:val="lowerRoman"/>
      <w:suff w:val="tab"/>
      <w:lvlText w:val="%3."/>
      <w:lvlJc w:val="right"/>
      <w:pPr>
        <w:pStyle w:val="156"/>
        <w:ind w:left="2160" w:hanging="179"/>
      </w:pPr>
    </w:lvl>
    <w:lvl w:ilvl="3">
      <w:start w:val="1"/>
      <w:numFmt w:val="decimal"/>
      <w:suff w:val="tab"/>
      <w:lvlText w:val="%4."/>
      <w:lvlJc w:val="left"/>
      <w:pPr>
        <w:pStyle w:val="156"/>
        <w:ind w:left="2880" w:hanging="359"/>
      </w:pPr>
    </w:lvl>
    <w:lvl w:ilvl="4">
      <w:start w:val="1"/>
      <w:numFmt w:val="lowerLetter"/>
      <w:suff w:val="tab"/>
      <w:lvlText w:val="%5."/>
      <w:lvlJc w:val="left"/>
      <w:pPr>
        <w:pStyle w:val="156"/>
        <w:ind w:left="3600" w:hanging="359"/>
      </w:pPr>
    </w:lvl>
    <w:lvl w:ilvl="5">
      <w:start w:val="1"/>
      <w:numFmt w:val="lowerRoman"/>
      <w:suff w:val="tab"/>
      <w:lvlText w:val="%6."/>
      <w:lvlJc w:val="right"/>
      <w:pPr>
        <w:pStyle w:val="156"/>
        <w:ind w:left="4320" w:hanging="179"/>
      </w:pPr>
    </w:lvl>
    <w:lvl w:ilvl="6">
      <w:start w:val="1"/>
      <w:numFmt w:val="decimal"/>
      <w:suff w:val="tab"/>
      <w:lvlText w:val="%7."/>
      <w:lvlJc w:val="left"/>
      <w:pPr>
        <w:pStyle w:val="156"/>
        <w:ind w:left="5040" w:hanging="359"/>
      </w:pPr>
    </w:lvl>
    <w:lvl w:ilvl="7">
      <w:start w:val="1"/>
      <w:numFmt w:val="lowerLetter"/>
      <w:suff w:val="tab"/>
      <w:lvlText w:val="%8."/>
      <w:lvlJc w:val="left"/>
      <w:pPr>
        <w:pStyle w:val="156"/>
        <w:ind w:left="5760" w:hanging="359"/>
      </w:pPr>
    </w:lvl>
    <w:lvl w:ilvl="8">
      <w:start w:val="1"/>
      <w:numFmt w:val="lowerRoman"/>
      <w:suff w:val="tab"/>
      <w:lvlText w:val="%9."/>
      <w:lvlJc w:val="right"/>
      <w:pPr>
        <w:pStyle w:val="156"/>
        <w:ind w:left="6480" w:hanging="179"/>
      </w:pPr>
    </w:lvl>
  </w:abstractNum>
  <w:abstractNum w:abstractNumId="1">
    <w:multiLevelType w:val="hybridMultilevel"/>
    <w:lvl w:ilvl="0">
      <w:start w:val="1"/>
      <w:numFmt w:val="decimal"/>
      <w:suff w:val="tab"/>
      <w:lvlText w:val="%1)"/>
      <w:lvlJc w:val="left"/>
      <w:pPr>
        <w:pStyle w:val="156"/>
        <w:ind w:left="720" w:hanging="359"/>
        <w:tabs>
          <w:tab w:val="left" w:pos="720" w:leader="none"/>
        </w:tabs>
      </w:pPr>
    </w:lvl>
    <w:lvl w:ilvl="1">
      <w:start w:val="1"/>
      <w:numFmt w:val="lowerLetter"/>
      <w:suff w:val="tab"/>
      <w:lvlText w:val="%2."/>
      <w:lvlJc w:val="left"/>
      <w:pPr>
        <w:pStyle w:val="156"/>
        <w:ind w:left="1440" w:hanging="359"/>
        <w:tabs>
          <w:tab w:val="left" w:pos="1440" w:leader="none"/>
        </w:tabs>
      </w:pPr>
    </w:lvl>
    <w:lvl w:ilvl="2">
      <w:start w:val="1"/>
      <w:numFmt w:val="lowerRoman"/>
      <w:suff w:val="tab"/>
      <w:lvlText w:val="%3."/>
      <w:lvlJc w:val="right"/>
      <w:pPr>
        <w:pStyle w:val="156"/>
        <w:ind w:left="2160" w:hanging="179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pStyle w:val="156"/>
        <w:ind w:left="2880" w:hanging="359"/>
        <w:tabs>
          <w:tab w:val="left" w:pos="2880" w:leader="none"/>
        </w:tabs>
      </w:pPr>
    </w:lvl>
    <w:lvl w:ilvl="4">
      <w:start w:val="1"/>
      <w:numFmt w:val="lowerLetter"/>
      <w:suff w:val="tab"/>
      <w:lvlText w:val="%5."/>
      <w:lvlJc w:val="left"/>
      <w:pPr>
        <w:pStyle w:val="156"/>
        <w:ind w:left="3600" w:hanging="359"/>
        <w:tabs>
          <w:tab w:val="left" w:pos="3600" w:leader="none"/>
        </w:tabs>
      </w:pPr>
    </w:lvl>
    <w:lvl w:ilvl="5">
      <w:start w:val="1"/>
      <w:numFmt w:val="lowerRoman"/>
      <w:suff w:val="tab"/>
      <w:lvlText w:val="%6."/>
      <w:lvlJc w:val="right"/>
      <w:pPr>
        <w:pStyle w:val="156"/>
        <w:ind w:left="4320" w:hanging="179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pStyle w:val="156"/>
        <w:ind w:left="5040" w:hanging="359"/>
        <w:tabs>
          <w:tab w:val="left" w:pos="5040" w:leader="none"/>
        </w:tabs>
      </w:pPr>
    </w:lvl>
    <w:lvl w:ilvl="7">
      <w:start w:val="1"/>
      <w:numFmt w:val="lowerLetter"/>
      <w:suff w:val="tab"/>
      <w:lvlText w:val="%8."/>
      <w:lvlJc w:val="left"/>
      <w:pPr>
        <w:pStyle w:val="156"/>
        <w:ind w:left="5760" w:hanging="359"/>
        <w:tabs>
          <w:tab w:val="left" w:pos="5760" w:leader="none"/>
        </w:tabs>
      </w:pPr>
    </w:lvl>
    <w:lvl w:ilvl="8">
      <w:start w:val="1"/>
      <w:numFmt w:val="lowerRoman"/>
      <w:suff w:val="tab"/>
      <w:lvlText w:val="%9."/>
      <w:lvlJc w:val="right"/>
      <w:pPr>
        <w:pStyle w:val="156"/>
        <w:ind w:left="6480" w:hanging="179"/>
        <w:tabs>
          <w:tab w:val="left" w:pos="6480" w:leader="none"/>
        </w:tabs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156"/>
        <w:ind w:left="1080" w:hanging="359"/>
      </w:pPr>
      <w:rPr>
        <w:u w:val="single"/>
      </w:rPr>
    </w:lvl>
    <w:lvl w:ilvl="1">
      <w:start w:val="1"/>
      <w:numFmt w:val="lowerLetter"/>
      <w:suff w:val="tab"/>
      <w:lvlText w:val="%2."/>
      <w:lvlJc w:val="left"/>
      <w:pPr>
        <w:pStyle w:val="156"/>
        <w:ind w:left="1800" w:hanging="359"/>
      </w:pPr>
    </w:lvl>
    <w:lvl w:ilvl="2">
      <w:start w:val="1"/>
      <w:numFmt w:val="lowerRoman"/>
      <w:suff w:val="tab"/>
      <w:lvlText w:val="%3."/>
      <w:lvlJc w:val="right"/>
      <w:pPr>
        <w:pStyle w:val="156"/>
        <w:ind w:left="2520" w:hanging="179"/>
      </w:pPr>
    </w:lvl>
    <w:lvl w:ilvl="3">
      <w:start w:val="1"/>
      <w:numFmt w:val="decimal"/>
      <w:suff w:val="tab"/>
      <w:lvlText w:val="%4."/>
      <w:lvlJc w:val="left"/>
      <w:pPr>
        <w:pStyle w:val="156"/>
        <w:ind w:left="3240" w:hanging="359"/>
      </w:pPr>
    </w:lvl>
    <w:lvl w:ilvl="4">
      <w:start w:val="1"/>
      <w:numFmt w:val="lowerLetter"/>
      <w:suff w:val="tab"/>
      <w:lvlText w:val="%5."/>
      <w:lvlJc w:val="left"/>
      <w:pPr>
        <w:pStyle w:val="156"/>
        <w:ind w:left="3960" w:hanging="359"/>
      </w:pPr>
    </w:lvl>
    <w:lvl w:ilvl="5">
      <w:start w:val="1"/>
      <w:numFmt w:val="lowerRoman"/>
      <w:suff w:val="tab"/>
      <w:lvlText w:val="%6."/>
      <w:lvlJc w:val="right"/>
      <w:pPr>
        <w:pStyle w:val="156"/>
        <w:ind w:left="4680" w:hanging="179"/>
      </w:pPr>
    </w:lvl>
    <w:lvl w:ilvl="6">
      <w:start w:val="1"/>
      <w:numFmt w:val="decimal"/>
      <w:suff w:val="tab"/>
      <w:lvlText w:val="%7."/>
      <w:lvlJc w:val="left"/>
      <w:pPr>
        <w:pStyle w:val="156"/>
        <w:ind w:left="5400" w:hanging="359"/>
      </w:pPr>
    </w:lvl>
    <w:lvl w:ilvl="7">
      <w:start w:val="1"/>
      <w:numFmt w:val="lowerLetter"/>
      <w:suff w:val="tab"/>
      <w:lvlText w:val="%8."/>
      <w:lvlJc w:val="left"/>
      <w:pPr>
        <w:pStyle w:val="156"/>
        <w:ind w:left="6120" w:hanging="359"/>
      </w:pPr>
    </w:lvl>
    <w:lvl w:ilvl="8">
      <w:start w:val="1"/>
      <w:numFmt w:val="lowerRoman"/>
      <w:suff w:val="tab"/>
      <w:lvlText w:val="%9."/>
      <w:lvlJc w:val="right"/>
      <w:pPr>
        <w:pStyle w:val="156"/>
        <w:ind w:left="6840" w:hanging="179"/>
      </w:p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pStyle w:val="156"/>
        <w:ind w:left="720" w:hanging="359"/>
        <w:tabs>
          <w:tab w:val="left" w:pos="720" w:leader="none"/>
        </w:tabs>
      </w:pPr>
      <w:rPr>
        <w:rFonts w:ascii="Comic Sans MS" w:hAnsi="Comic Sans MS"/>
      </w:rPr>
    </w:lvl>
    <w:lvl w:ilvl="1">
      <w:start w:val="1"/>
      <w:numFmt w:val="bullet"/>
      <w:suff w:val="tab"/>
      <w:lvlText w:val="•"/>
      <w:lvlJc w:val="left"/>
      <w:pPr>
        <w:pStyle w:val="156"/>
        <w:ind w:left="1440" w:hanging="359"/>
        <w:tabs>
          <w:tab w:val="left" w:pos="1440" w:leader="none"/>
        </w:tabs>
      </w:pPr>
      <w:rPr>
        <w:rFonts w:ascii="Comic Sans MS" w:hAnsi="Comic Sans MS"/>
      </w:rPr>
    </w:lvl>
    <w:lvl w:ilvl="2">
      <w:start w:val="1"/>
      <w:numFmt w:val="bullet"/>
      <w:suff w:val="tab"/>
      <w:lvlText w:val="•"/>
      <w:lvlJc w:val="left"/>
      <w:pPr>
        <w:pStyle w:val="156"/>
        <w:ind w:left="2160" w:hanging="359"/>
        <w:tabs>
          <w:tab w:val="left" w:pos="2160" w:leader="none"/>
        </w:tabs>
      </w:pPr>
      <w:rPr>
        <w:rFonts w:ascii="Comic Sans MS" w:hAnsi="Comic Sans MS"/>
      </w:rPr>
    </w:lvl>
    <w:lvl w:ilvl="3">
      <w:start w:val="1"/>
      <w:numFmt w:val="bullet"/>
      <w:suff w:val="tab"/>
      <w:lvlText w:val="•"/>
      <w:lvlJc w:val="left"/>
      <w:pPr>
        <w:pStyle w:val="156"/>
        <w:ind w:left="2880" w:hanging="359"/>
        <w:tabs>
          <w:tab w:val="left" w:pos="2880" w:leader="none"/>
        </w:tabs>
      </w:pPr>
      <w:rPr>
        <w:rFonts w:ascii="Comic Sans MS" w:hAnsi="Comic Sans MS"/>
      </w:rPr>
    </w:lvl>
    <w:lvl w:ilvl="4">
      <w:start w:val="1"/>
      <w:numFmt w:val="bullet"/>
      <w:suff w:val="tab"/>
      <w:lvlText w:val="•"/>
      <w:lvlJc w:val="left"/>
      <w:pPr>
        <w:pStyle w:val="156"/>
        <w:ind w:left="3600" w:hanging="359"/>
        <w:tabs>
          <w:tab w:val="left" w:pos="3600" w:leader="none"/>
        </w:tabs>
      </w:pPr>
      <w:rPr>
        <w:rFonts w:ascii="Comic Sans MS" w:hAnsi="Comic Sans MS"/>
      </w:rPr>
    </w:lvl>
    <w:lvl w:ilvl="5">
      <w:start w:val="1"/>
      <w:numFmt w:val="bullet"/>
      <w:suff w:val="tab"/>
      <w:lvlText w:val="•"/>
      <w:lvlJc w:val="left"/>
      <w:pPr>
        <w:pStyle w:val="156"/>
        <w:ind w:left="4320" w:hanging="359"/>
        <w:tabs>
          <w:tab w:val="left" w:pos="4320" w:leader="none"/>
        </w:tabs>
      </w:pPr>
      <w:rPr>
        <w:rFonts w:ascii="Comic Sans MS" w:hAnsi="Comic Sans MS"/>
      </w:rPr>
    </w:lvl>
    <w:lvl w:ilvl="6">
      <w:start w:val="1"/>
      <w:numFmt w:val="bullet"/>
      <w:suff w:val="tab"/>
      <w:lvlText w:val="•"/>
      <w:lvlJc w:val="left"/>
      <w:pPr>
        <w:pStyle w:val="156"/>
        <w:ind w:left="5040" w:hanging="359"/>
        <w:tabs>
          <w:tab w:val="left" w:pos="5040" w:leader="none"/>
        </w:tabs>
      </w:pPr>
      <w:rPr>
        <w:rFonts w:ascii="Comic Sans MS" w:hAnsi="Comic Sans MS"/>
      </w:rPr>
    </w:lvl>
    <w:lvl w:ilvl="7">
      <w:start w:val="1"/>
      <w:numFmt w:val="bullet"/>
      <w:suff w:val="tab"/>
      <w:lvlText w:val="•"/>
      <w:lvlJc w:val="left"/>
      <w:pPr>
        <w:pStyle w:val="156"/>
        <w:ind w:left="5760" w:hanging="359"/>
        <w:tabs>
          <w:tab w:val="left" w:pos="5760" w:leader="none"/>
        </w:tabs>
      </w:pPr>
      <w:rPr>
        <w:rFonts w:ascii="Comic Sans MS" w:hAnsi="Comic Sans MS"/>
      </w:rPr>
    </w:lvl>
    <w:lvl w:ilvl="8">
      <w:start w:val="1"/>
      <w:numFmt w:val="bullet"/>
      <w:suff w:val="tab"/>
      <w:lvlText w:val="•"/>
      <w:lvlJc w:val="left"/>
      <w:pPr>
        <w:pStyle w:val="156"/>
        <w:ind w:left="6480" w:hanging="359"/>
        <w:tabs>
          <w:tab w:val="left" w:pos="6480" w:leader="none"/>
        </w:tabs>
      </w:pPr>
      <w:rPr>
        <w:rFonts w:ascii="Comic Sans MS" w:hAnsi="Comic Sans MS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pStyle w:val="156"/>
        <w:ind w:left="720" w:hanging="359"/>
      </w:pPr>
      <w:rPr>
        <w:rFonts w:ascii="Comic Sans MS" w:hAnsi="Comic Sans MS"/>
      </w:rPr>
    </w:lvl>
    <w:lvl w:ilvl="1">
      <w:start w:val="1"/>
      <w:numFmt w:val="bullet"/>
      <w:suff w:val="tab"/>
      <w:lvlText w:val="o"/>
      <w:lvlJc w:val="left"/>
      <w:pPr>
        <w:pStyle w:val="156"/>
        <w:ind w:left="1440" w:hanging="359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pStyle w:val="156"/>
        <w:ind w:left="2160" w:hanging="359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156"/>
        <w:ind w:left="2880" w:hanging="359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156"/>
        <w:ind w:left="3600" w:hanging="359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pStyle w:val="156"/>
        <w:ind w:left="4320" w:hanging="359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156"/>
        <w:ind w:left="5040" w:hanging="359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156"/>
        <w:ind w:left="5760" w:hanging="359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pStyle w:val="156"/>
        <w:ind w:left="6480" w:hanging="359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suff w:val="tab"/>
      <w:lvlText w:val=""/>
      <w:lvlJc w:val="left"/>
      <w:pPr>
        <w:pStyle w:val="156"/>
        <w:ind w:left="720" w:hanging="359"/>
      </w:pPr>
      <w:rPr>
        <w:rFonts w:ascii="Wingdings" w:hAnsi="Wingdings"/>
      </w:rPr>
    </w:lvl>
    <w:lvl w:ilvl="1">
      <w:start w:val="1"/>
      <w:numFmt w:val="bullet"/>
      <w:suff w:val="tab"/>
      <w:lvlText w:val="o"/>
      <w:lvlJc w:val="left"/>
      <w:pPr>
        <w:pStyle w:val="156"/>
        <w:ind w:left="1440" w:hanging="359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pStyle w:val="156"/>
        <w:ind w:left="2160" w:hanging="359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156"/>
        <w:ind w:left="2880" w:hanging="359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156"/>
        <w:ind w:left="3600" w:hanging="359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pStyle w:val="156"/>
        <w:ind w:left="4320" w:hanging="359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156"/>
        <w:ind w:left="5040" w:hanging="359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156"/>
        <w:ind w:left="5760" w:hanging="359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pStyle w:val="156"/>
        <w:ind w:left="6480" w:hanging="359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suff w:val="tab"/>
      <w:lvlText w:val=""/>
      <w:lvlJc w:val="left"/>
      <w:pPr>
        <w:pStyle w:val="156"/>
        <w:ind w:left="720" w:hanging="359"/>
        <w:tabs>
          <w:tab w:val="left" w:pos="720" w:leader="none"/>
        </w:tabs>
      </w:pPr>
      <w:rPr>
        <w:rFonts w:ascii="Wingdings" w:hAnsi="Wingdings"/>
        <w:color w:val="000000"/>
      </w:rPr>
    </w:lvl>
    <w:lvl w:ilvl="1">
      <w:start w:val="1"/>
      <w:numFmt w:val="bullet"/>
      <w:suff w:val="tab"/>
      <w:lvlText w:val="o"/>
      <w:lvlJc w:val="left"/>
      <w:pPr>
        <w:pStyle w:val="156"/>
        <w:ind w:left="1440" w:hanging="359"/>
        <w:tabs>
          <w:tab w:val="left" w:pos="1440" w:leader="none"/>
        </w:tabs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pStyle w:val="156"/>
        <w:ind w:left="2160" w:hanging="359"/>
        <w:tabs>
          <w:tab w:val="left" w:pos="2160" w:leader="none"/>
        </w:tabs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156"/>
        <w:ind w:left="2880" w:hanging="359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156"/>
        <w:ind w:left="3600" w:hanging="359"/>
        <w:tabs>
          <w:tab w:val="left" w:pos="3600" w:leader="none"/>
        </w:tabs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pStyle w:val="156"/>
        <w:ind w:left="4320" w:hanging="359"/>
        <w:tabs>
          <w:tab w:val="left" w:pos="4320" w:leader="none"/>
        </w:tabs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156"/>
        <w:ind w:left="5040" w:hanging="359"/>
        <w:tabs>
          <w:tab w:val="left" w:pos="5040" w:leader="none"/>
        </w:tabs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156"/>
        <w:ind w:left="5760" w:hanging="359"/>
        <w:tabs>
          <w:tab w:val="left" w:pos="5760" w:leader="none"/>
        </w:tabs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pStyle w:val="156"/>
        <w:ind w:left="6480" w:hanging="359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suff w:val="tab"/>
      <w:lvlText w:val="•"/>
      <w:lvlJc w:val="left"/>
      <w:pPr>
        <w:pStyle w:val="156"/>
        <w:ind w:left="720" w:hanging="359"/>
        <w:tabs>
          <w:tab w:val="left" w:pos="720" w:leader="none"/>
        </w:tabs>
      </w:pPr>
      <w:rPr>
        <w:rFonts w:ascii="Comic Sans MS" w:hAnsi="Comic Sans MS"/>
      </w:rPr>
    </w:lvl>
    <w:lvl w:ilvl="1">
      <w:start w:val="1"/>
      <w:numFmt w:val="decimal"/>
      <w:suff w:val="tab"/>
      <w:lvlText w:val="%2)"/>
      <w:lvlJc w:val="left"/>
      <w:pPr>
        <w:pStyle w:val="156"/>
        <w:ind w:left="1440" w:hanging="359"/>
        <w:tabs>
          <w:tab w:val="left" w:pos="1440" w:leader="none"/>
        </w:tabs>
      </w:pPr>
    </w:lvl>
    <w:lvl w:ilvl="2">
      <w:start w:val="1"/>
      <w:numFmt w:val="bullet"/>
      <w:suff w:val="tab"/>
      <w:lvlText w:val="•"/>
      <w:lvlJc w:val="left"/>
      <w:pPr>
        <w:pStyle w:val="156"/>
        <w:ind w:left="2160" w:hanging="359"/>
        <w:tabs>
          <w:tab w:val="left" w:pos="2160" w:leader="none"/>
        </w:tabs>
      </w:pPr>
      <w:rPr>
        <w:rFonts w:ascii="Comic Sans MS" w:hAnsi="Comic Sans MS"/>
      </w:rPr>
    </w:lvl>
    <w:lvl w:ilvl="3">
      <w:start w:val="1"/>
      <w:numFmt w:val="bullet"/>
      <w:suff w:val="tab"/>
      <w:lvlText w:val="•"/>
      <w:lvlJc w:val="left"/>
      <w:pPr>
        <w:pStyle w:val="156"/>
        <w:ind w:left="2880" w:hanging="359"/>
        <w:tabs>
          <w:tab w:val="left" w:pos="2880" w:leader="none"/>
        </w:tabs>
      </w:pPr>
      <w:rPr>
        <w:rFonts w:ascii="Comic Sans MS" w:hAnsi="Comic Sans MS"/>
      </w:rPr>
    </w:lvl>
    <w:lvl w:ilvl="4">
      <w:start w:val="1"/>
      <w:numFmt w:val="bullet"/>
      <w:suff w:val="tab"/>
      <w:lvlText w:val="•"/>
      <w:lvlJc w:val="left"/>
      <w:pPr>
        <w:pStyle w:val="156"/>
        <w:ind w:left="3600" w:hanging="359"/>
        <w:tabs>
          <w:tab w:val="left" w:pos="3600" w:leader="none"/>
        </w:tabs>
      </w:pPr>
      <w:rPr>
        <w:rFonts w:ascii="Comic Sans MS" w:hAnsi="Comic Sans MS"/>
      </w:rPr>
    </w:lvl>
    <w:lvl w:ilvl="5">
      <w:start w:val="1"/>
      <w:numFmt w:val="bullet"/>
      <w:suff w:val="tab"/>
      <w:lvlText w:val="•"/>
      <w:lvlJc w:val="left"/>
      <w:pPr>
        <w:pStyle w:val="156"/>
        <w:ind w:left="4320" w:hanging="359"/>
        <w:tabs>
          <w:tab w:val="left" w:pos="4320" w:leader="none"/>
        </w:tabs>
      </w:pPr>
      <w:rPr>
        <w:rFonts w:ascii="Comic Sans MS" w:hAnsi="Comic Sans MS"/>
      </w:rPr>
    </w:lvl>
    <w:lvl w:ilvl="6">
      <w:start w:val="1"/>
      <w:numFmt w:val="bullet"/>
      <w:suff w:val="tab"/>
      <w:lvlText w:val="•"/>
      <w:lvlJc w:val="left"/>
      <w:pPr>
        <w:pStyle w:val="156"/>
        <w:ind w:left="5040" w:hanging="359"/>
        <w:tabs>
          <w:tab w:val="left" w:pos="5040" w:leader="none"/>
        </w:tabs>
      </w:pPr>
      <w:rPr>
        <w:rFonts w:ascii="Comic Sans MS" w:hAnsi="Comic Sans MS"/>
      </w:rPr>
    </w:lvl>
    <w:lvl w:ilvl="7">
      <w:start w:val="1"/>
      <w:numFmt w:val="bullet"/>
      <w:suff w:val="tab"/>
      <w:lvlText w:val="•"/>
      <w:lvlJc w:val="left"/>
      <w:pPr>
        <w:pStyle w:val="156"/>
        <w:ind w:left="5760" w:hanging="359"/>
        <w:tabs>
          <w:tab w:val="left" w:pos="5760" w:leader="none"/>
        </w:tabs>
      </w:pPr>
      <w:rPr>
        <w:rFonts w:ascii="Comic Sans MS" w:hAnsi="Comic Sans MS"/>
      </w:rPr>
    </w:lvl>
    <w:lvl w:ilvl="8">
      <w:start w:val="1"/>
      <w:numFmt w:val="bullet"/>
      <w:suff w:val="tab"/>
      <w:lvlText w:val="•"/>
      <w:lvlJc w:val="left"/>
      <w:pPr>
        <w:pStyle w:val="156"/>
        <w:ind w:left="6480" w:hanging="359"/>
        <w:tabs>
          <w:tab w:val="left" w:pos="6480" w:leader="none"/>
        </w:tabs>
      </w:pPr>
      <w:rPr>
        <w:rFonts w:ascii="Comic Sans MS" w:hAnsi="Comic Sans MS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pStyle w:val="156"/>
        <w:ind w:left="720" w:hanging="359"/>
      </w:pPr>
      <w:rPr>
        <w:u w:val="single"/>
      </w:rPr>
    </w:lvl>
    <w:lvl w:ilvl="1">
      <w:start w:val="1"/>
      <w:numFmt w:val="lowerLetter"/>
      <w:suff w:val="tab"/>
      <w:lvlText w:val="%2."/>
      <w:lvlJc w:val="left"/>
      <w:pPr>
        <w:pStyle w:val="156"/>
        <w:ind w:left="1440" w:hanging="359"/>
      </w:pPr>
    </w:lvl>
    <w:lvl w:ilvl="2">
      <w:start w:val="1"/>
      <w:numFmt w:val="lowerRoman"/>
      <w:suff w:val="tab"/>
      <w:lvlText w:val="%3."/>
      <w:lvlJc w:val="right"/>
      <w:pPr>
        <w:pStyle w:val="156"/>
        <w:ind w:left="2160" w:hanging="179"/>
      </w:pPr>
    </w:lvl>
    <w:lvl w:ilvl="3">
      <w:start w:val="1"/>
      <w:numFmt w:val="decimal"/>
      <w:suff w:val="tab"/>
      <w:lvlText w:val="%4."/>
      <w:lvlJc w:val="left"/>
      <w:pPr>
        <w:pStyle w:val="156"/>
        <w:ind w:left="2880" w:hanging="359"/>
      </w:pPr>
    </w:lvl>
    <w:lvl w:ilvl="4">
      <w:start w:val="1"/>
      <w:numFmt w:val="lowerLetter"/>
      <w:suff w:val="tab"/>
      <w:lvlText w:val="%5."/>
      <w:lvlJc w:val="left"/>
      <w:pPr>
        <w:pStyle w:val="156"/>
        <w:ind w:left="3600" w:hanging="359"/>
      </w:pPr>
    </w:lvl>
    <w:lvl w:ilvl="5">
      <w:start w:val="1"/>
      <w:numFmt w:val="lowerRoman"/>
      <w:suff w:val="tab"/>
      <w:lvlText w:val="%6."/>
      <w:lvlJc w:val="right"/>
      <w:pPr>
        <w:pStyle w:val="156"/>
        <w:ind w:left="4320" w:hanging="179"/>
      </w:pPr>
    </w:lvl>
    <w:lvl w:ilvl="6">
      <w:start w:val="1"/>
      <w:numFmt w:val="decimal"/>
      <w:suff w:val="tab"/>
      <w:lvlText w:val="%7."/>
      <w:lvlJc w:val="left"/>
      <w:pPr>
        <w:pStyle w:val="156"/>
        <w:ind w:left="5040" w:hanging="359"/>
      </w:pPr>
    </w:lvl>
    <w:lvl w:ilvl="7">
      <w:start w:val="1"/>
      <w:numFmt w:val="lowerLetter"/>
      <w:suff w:val="tab"/>
      <w:lvlText w:val="%8."/>
      <w:lvlJc w:val="left"/>
      <w:pPr>
        <w:pStyle w:val="156"/>
        <w:ind w:left="5760" w:hanging="359"/>
      </w:pPr>
    </w:lvl>
    <w:lvl w:ilvl="8">
      <w:start w:val="1"/>
      <w:numFmt w:val="lowerRoman"/>
      <w:suff w:val="tab"/>
      <w:lvlText w:val="%9."/>
      <w:lvlJc w:val="right"/>
      <w:pPr>
        <w:pStyle w:val="156"/>
        <w:ind w:left="6480" w:hanging="179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cs="Times New Roman" w:eastAsia="Calibri" w:hint="default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hanging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character" w:styleId="12">
    <w:name w:val="Heading 1 Char"/>
    <w:basedOn w:val="9"/>
    <w:uiPriority w:val="9"/>
    <w:rPr>
      <w:rFonts w:ascii="Arial" w:hAnsi="Arial" w:cs="Arial" w:eastAsia="Arial"/>
      <w:b/>
      <w:bCs/>
      <w:color w:val="000000" w:themeColor="text1"/>
      <w:sz w:val="48"/>
      <w:szCs w:val="48"/>
    </w:rPr>
  </w:style>
  <w:style w:type="paragraph" w:styleId="13">
    <w:name w:val="Heading 2"/>
    <w:basedOn w:val="8"/>
    <w:next w:val="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character" w:styleId="14">
    <w:name w:val="Heading 2 Char"/>
    <w:basedOn w:val="9"/>
    <w:uiPriority w:val="9"/>
    <w:rPr>
      <w:rFonts w:ascii="Arial" w:hAnsi="Arial" w:cs="Arial" w:eastAsia="Arial"/>
      <w:b/>
      <w:bCs/>
      <w:color w:val="000000" w:themeColor="text1"/>
      <w:sz w:val="40"/>
      <w:szCs w:val="40"/>
    </w:rPr>
  </w:style>
  <w:style w:type="paragraph" w:styleId="15">
    <w:name w:val="Heading 3"/>
    <w:basedOn w:val="8"/>
    <w:next w:val="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character" w:styleId="16">
    <w:name w:val="Heading 3 Char"/>
    <w:basedOn w:val="9"/>
    <w:uiPriority w:val="9"/>
    <w:rPr>
      <w:rFonts w:ascii="Arial" w:hAnsi="Arial" w:cs="Arial" w:eastAsia="Arial"/>
      <w:b/>
      <w:bCs/>
      <w:i/>
      <w:iCs/>
      <w:color w:val="000000" w:themeColor="text1"/>
      <w:sz w:val="40"/>
      <w:szCs w:val="40"/>
    </w:rPr>
  </w:style>
  <w:style w:type="paragraph" w:styleId="17">
    <w:name w:val="Heading 4"/>
    <w:basedOn w:val="8"/>
    <w:next w:val="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character" w:styleId="18">
    <w:name w:val="Heading 4 Char"/>
    <w:basedOn w:val="9"/>
    <w:uiPriority w:val="9"/>
    <w:rPr>
      <w:rFonts w:ascii="Arial" w:hAnsi="Arial" w:cs="Arial" w:eastAsia="Arial"/>
      <w:color w:val="232323"/>
      <w:sz w:val="32"/>
      <w:szCs w:val="32"/>
    </w:rPr>
  </w:style>
  <w:style w:type="paragraph" w:styleId="19">
    <w:name w:val="Heading 5"/>
    <w:basedOn w:val="8"/>
    <w:next w:val="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character" w:styleId="20">
    <w:name w:val="Heading 5 Char"/>
    <w:basedOn w:val="9"/>
    <w:uiPriority w:val="9"/>
    <w:rPr>
      <w:rFonts w:ascii="Arial" w:hAnsi="Arial" w:cs="Arial" w:eastAsia="Arial"/>
      <w:b/>
      <w:bCs/>
      <w:color w:val="444444"/>
      <w:sz w:val="28"/>
      <w:szCs w:val="28"/>
    </w:rPr>
  </w:style>
  <w:style w:type="paragraph" w:styleId="21">
    <w:name w:val="Heading 6"/>
    <w:basedOn w:val="8"/>
    <w:next w:val="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character" w:styleId="22">
    <w:name w:val="Heading 6 Char"/>
    <w:basedOn w:val="9"/>
    <w:uiPriority w:val="9"/>
    <w:rPr>
      <w:rFonts w:ascii="Arial" w:hAnsi="Arial" w:cs="Arial" w:eastAsia="Arial"/>
      <w:i/>
      <w:iCs/>
      <w:color w:val="232323"/>
      <w:sz w:val="28"/>
      <w:szCs w:val="28"/>
    </w:rPr>
  </w:style>
  <w:style w:type="paragraph" w:styleId="23">
    <w:name w:val="Heading 7"/>
    <w:basedOn w:val="8"/>
    <w:next w:val="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character" w:styleId="24">
    <w:name w:val="Heading 7 Char"/>
    <w:basedOn w:val="9"/>
    <w:uiPriority w:val="9"/>
    <w:rPr>
      <w:rFonts w:ascii="Arial" w:hAnsi="Arial" w:cs="Arial" w:eastAsia="Arial"/>
      <w:b/>
      <w:bCs/>
      <w:color w:val="606060"/>
      <w:sz w:val="28"/>
      <w:szCs w:val="28"/>
    </w:rPr>
  </w:style>
  <w:style w:type="paragraph" w:styleId="25">
    <w:name w:val="Heading 8"/>
    <w:basedOn w:val="8"/>
    <w:next w:val="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character" w:styleId="26">
    <w:name w:val="Heading 8 Char"/>
    <w:basedOn w:val="9"/>
    <w:uiPriority w:val="9"/>
    <w:rPr>
      <w:rFonts w:ascii="Arial" w:hAnsi="Arial" w:cs="Arial" w:eastAsia="Arial"/>
      <w:color w:val="444444"/>
      <w:sz w:val="24"/>
      <w:szCs w:val="24"/>
    </w:rPr>
  </w:style>
  <w:style w:type="paragraph" w:styleId="27">
    <w:name w:val="Heading 9"/>
    <w:basedOn w:val="8"/>
    <w:next w:val="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character" w:styleId="28">
    <w:name w:val="Heading 9 Char"/>
    <w:basedOn w:val="9"/>
    <w:uiPriority w:val="9"/>
    <w:rPr>
      <w:rFonts w:ascii="Arial" w:hAnsi="Arial" w:cs="Arial" w:eastAsia="Arial"/>
      <w:i/>
      <w:iCs/>
      <w:color w:val="444444"/>
      <w:sz w:val="23"/>
      <w:szCs w:val="23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basedOn w:val="8"/>
    <w:qFormat/>
    <w:uiPriority w:val="1"/>
    <w:rPr>
      <w:color w:val="000000"/>
    </w:rPr>
    <w:pPr>
      <w:spacing w:lineRule="auto" w:line="240" w:after="0"/>
    </w:pPr>
  </w:style>
  <w:style w:type="paragraph" w:styleId="32">
    <w:name w:val="Title"/>
    <w:basedOn w:val="8"/>
    <w:next w:val="8"/>
    <w:qFormat/>
    <w:uiPriority w:val="10"/>
    <w:rPr>
      <w:b/>
      <w:color w:val="000000"/>
      <w:sz w:val="72"/>
    </w:rPr>
    <w:pPr>
      <w:spacing w:lineRule="auto" w:line="240" w:after="80" w:before="300"/>
      <w:pBdr>
        <w:bottom w:val="single" w:color="000000" w:sz="24" w:space="0"/>
      </w:pBdr>
      <w:outlineLvl w:val="0"/>
    </w:pPr>
  </w:style>
  <w:style w:type="paragraph" w:styleId="33">
    <w:name w:val="Subtitle"/>
    <w:basedOn w:val="8"/>
    <w:next w:val="8"/>
    <w:qFormat/>
    <w:uiPriority w:val="11"/>
    <w:rPr>
      <w:i/>
      <w:color w:val="444444"/>
      <w:sz w:val="52"/>
    </w:rPr>
    <w:pPr>
      <w:spacing w:lineRule="auto" w:line="240"/>
      <w:outlineLvl w:val="0"/>
    </w:pPr>
  </w:style>
  <w:style w:type="paragraph" w:styleId="34">
    <w:name w:val="Quote"/>
    <w:basedOn w:val="8"/>
    <w:next w:val="8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</w:style>
  <w:style w:type="paragraph" w:styleId="35">
    <w:name w:val="Intense Quote"/>
    <w:basedOn w:val="8"/>
    <w:next w:val="8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</w:style>
  <w:style w:type="paragraph" w:styleId="36">
    <w:name w:val="Header"/>
    <w:basedOn w:val="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37">
    <w:name w:val="Footer"/>
    <w:basedOn w:val="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table" w:styleId="38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9">
    <w:name w:val="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0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1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2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3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4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5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46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47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48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9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0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1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2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3">
    <w:name w:val="Bordered &amp; 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5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7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8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9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0">
    <w:name w:val="Hyperlink"/>
    <w:uiPriority w:val="99"/>
    <w:unhideWhenUsed/>
    <w:rPr>
      <w:color w:val="0000FF" w:themeColor="hyperlink"/>
      <w:u w:val="single"/>
    </w:rPr>
  </w:style>
  <w:style w:type="paragraph" w:styleId="61">
    <w:name w:val="footnote text"/>
    <w:basedOn w:val="8"/>
    <w:uiPriority w:val="99"/>
    <w:semiHidden/>
    <w:unhideWhenUsed/>
    <w:rPr>
      <w:sz w:val="20"/>
    </w:rPr>
    <w:pPr>
      <w:spacing w:lineRule="auto" w:line="240" w:after="0"/>
    </w:pPr>
  </w:style>
  <w:style w:type="character" w:styleId="62">
    <w:name w:val="Footnote Text Char"/>
    <w:basedOn w:val="9"/>
    <w:uiPriority w:val="99"/>
    <w:semiHidden/>
    <w:rPr>
      <w:sz w:val="20"/>
    </w:rPr>
  </w:style>
  <w:style w:type="character" w:styleId="63">
    <w:name w:val="footnote reference"/>
    <w:basedOn w:val="9"/>
    <w:uiPriority w:val="99"/>
    <w:semiHidden/>
    <w:unhideWhenUsed/>
    <w:rPr>
      <w:vertAlign w:val="superscript"/>
    </w:rPr>
  </w:style>
  <w:style w:type="paragraph" w:styleId="64">
    <w:name w:val="toc 1"/>
    <w:basedOn w:val="8"/>
    <w:next w:val="8"/>
    <w:uiPriority w:val="39"/>
    <w:unhideWhenUsed/>
    <w:pPr>
      <w:ind w:left="0" w:right="0" w:hanging="0"/>
      <w:spacing w:after="57"/>
    </w:pPr>
  </w:style>
  <w:style w:type="paragraph" w:styleId="65">
    <w:name w:val="toc 2"/>
    <w:basedOn w:val="8"/>
    <w:next w:val="8"/>
    <w:uiPriority w:val="39"/>
    <w:unhideWhenUsed/>
    <w:pPr>
      <w:ind w:left="283" w:right="0" w:hanging="0"/>
      <w:spacing w:after="57"/>
    </w:pPr>
  </w:style>
  <w:style w:type="paragraph" w:styleId="66">
    <w:name w:val="toc 3"/>
    <w:basedOn w:val="8"/>
    <w:next w:val="8"/>
    <w:uiPriority w:val="39"/>
    <w:unhideWhenUsed/>
    <w:pPr>
      <w:ind w:left="567" w:right="0" w:hanging="0"/>
      <w:spacing w:after="57"/>
    </w:pPr>
  </w:style>
  <w:style w:type="paragraph" w:styleId="67">
    <w:name w:val="toc 4"/>
    <w:basedOn w:val="8"/>
    <w:next w:val="8"/>
    <w:uiPriority w:val="39"/>
    <w:unhideWhenUsed/>
    <w:pPr>
      <w:ind w:left="850" w:right="0" w:hanging="0"/>
      <w:spacing w:after="57"/>
    </w:pPr>
  </w:style>
  <w:style w:type="paragraph" w:styleId="68">
    <w:name w:val="toc 5"/>
    <w:basedOn w:val="8"/>
    <w:next w:val="8"/>
    <w:uiPriority w:val="39"/>
    <w:unhideWhenUsed/>
    <w:pPr>
      <w:ind w:left="1134" w:right="0" w:hanging="0"/>
      <w:spacing w:after="57"/>
    </w:pPr>
  </w:style>
  <w:style w:type="paragraph" w:styleId="69">
    <w:name w:val="toc 6"/>
    <w:basedOn w:val="8"/>
    <w:next w:val="8"/>
    <w:uiPriority w:val="39"/>
    <w:unhideWhenUsed/>
    <w:pPr>
      <w:ind w:left="1417" w:right="0" w:hanging="0"/>
      <w:spacing w:after="57"/>
    </w:pPr>
  </w:style>
  <w:style w:type="paragraph" w:styleId="70">
    <w:name w:val="toc 7"/>
    <w:basedOn w:val="8"/>
    <w:next w:val="8"/>
    <w:uiPriority w:val="39"/>
    <w:unhideWhenUsed/>
    <w:pPr>
      <w:ind w:left="1701" w:right="0" w:hanging="0"/>
      <w:spacing w:after="57"/>
    </w:pPr>
  </w:style>
  <w:style w:type="paragraph" w:styleId="71">
    <w:name w:val="toc 8"/>
    <w:basedOn w:val="8"/>
    <w:next w:val="8"/>
    <w:uiPriority w:val="39"/>
    <w:unhideWhenUsed/>
    <w:pPr>
      <w:ind w:left="1984" w:right="0" w:hanging="0"/>
      <w:spacing w:after="57"/>
    </w:pPr>
  </w:style>
  <w:style w:type="paragraph" w:styleId="72">
    <w:name w:val="toc 9"/>
    <w:basedOn w:val="8"/>
    <w:next w:val="8"/>
    <w:uiPriority w:val="39"/>
    <w:unhideWhenUsed/>
    <w:pPr>
      <w:ind w:left="2268" w:right="0" w:hanging="0"/>
      <w:spacing w:after="57"/>
    </w:pPr>
  </w:style>
  <w:style w:type="paragraph" w:styleId="73">
    <w:name w:val="TOC Heading"/>
    <w:uiPriority w:val="39"/>
    <w:unhideWhenUsed/>
  </w:style>
  <w:style w:type="paragraph" w:styleId="156">
    <w:name w:val="Обычный"/>
    <w:next w:val="156"/>
    <w:rPr>
      <w:rFonts w:eastAsia="Times New Roman"/>
      <w:sz w:val="24"/>
      <w:szCs w:val="24"/>
      <w:lang w:val="ru-RU" w:bidi="ar-SA" w:eastAsia="ru-RU"/>
    </w:rPr>
  </w:style>
  <w:style w:type="character" w:styleId="157">
    <w:name w:val="Основной шрифт абзаца"/>
    <w:next w:val="157"/>
    <w:semiHidden/>
  </w:style>
  <w:style w:type="table" w:styleId="158">
    <w:name w:val="Обычная таблица"/>
    <w:next w:val="158"/>
    <w:semiHidden/>
    <w:tblPr/>
  </w:style>
  <w:style w:type="numbering" w:styleId="159">
    <w:name w:val="Нет списка"/>
    <w:next w:val="159"/>
    <w:semiHidden/>
  </w:style>
  <w:style w:type="character" w:styleId="160">
    <w:name w:val="apple-style-span"/>
    <w:next w:val="160"/>
  </w:style>
  <w:style w:type="character" w:styleId="161">
    <w:name w:val="apple-converted-space"/>
    <w:next w:val="161"/>
  </w:style>
  <w:style w:type="character" w:styleId="610" w:default="1">
    <w:name w:val="Default Paragraph Font"/>
    <w:uiPriority w:val="1"/>
    <w:semiHidden/>
    <w:unhideWhenUsed/>
  </w:style>
  <w:style w:type="numbering" w:styleId="611" w:default="1">
    <w:name w:val="No List"/>
    <w:uiPriority w:val="99"/>
    <w:semiHidden/>
    <w:unhideWhenUsed/>
  </w:style>
  <w:style w:type="paragraph" w:styleId="612" w:default="1">
    <w:name w:val="Normal"/>
    <w:qFormat/>
  </w:style>
  <w:style w:type="table" w:styleId="61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ONLYOFFICE/2.4.526.0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