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Билет 1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Восточнославянские племена на территории Беларуси в </w:t>
      </w:r>
      <w:r>
        <w:rPr>
          <w:rFonts w:ascii="Times New Roman" w:hAnsi="Times New Roman" w:cs="Times New Roman" w:eastAsia="Times New Roman"/>
          <w:b/>
          <w:sz w:val="28"/>
          <w:lang w:val="en-US"/>
        </w:rPr>
        <w:t xml:space="preserve">VI-VIII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веке: расселение, возникновение городов, занятия населения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ind w:left="0" w:right="0" w:firstLine="99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lang w:val="ru-RU"/>
        </w:rPr>
        <w:t xml:space="preserve">Примерно во </w:t>
      </w:r>
      <w:r>
        <w:rPr>
          <w:rFonts w:ascii="Times New Roman" w:hAnsi="Times New Roman" w:cs="Times New Roman" w:eastAsia="Times New Roman"/>
          <w:sz w:val="26"/>
          <w:lang w:val="en-US"/>
        </w:rPr>
        <w:t xml:space="preserve">II</w:t>
      </w:r>
      <w:r>
        <w:rPr>
          <w:rFonts w:ascii="Times New Roman" w:hAnsi="Times New Roman" w:cs="Times New Roman" w:eastAsia="Times New Roman"/>
          <w:sz w:val="26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6"/>
          <w:lang w:val="ru-RU"/>
        </w:rPr>
        <w:t xml:space="preserve">тысячелетии на территории Беларуси стали проникать </w:t>
      </w:r>
      <w:r>
        <w:rPr>
          <w:rFonts w:ascii="Times New Roman" w:hAnsi="Times New Roman" w:cs="Times New Roman" w:eastAsia="Times New Roman"/>
          <w:b/>
          <w:i/>
          <w:sz w:val="26"/>
          <w:lang w:val="ru-RU"/>
        </w:rPr>
        <w:t xml:space="preserve">индоевропейцы</w:t>
      </w:r>
      <w:r>
        <w:rPr>
          <w:rFonts w:ascii="Times New Roman" w:hAnsi="Times New Roman" w:cs="Times New Roman" w:eastAsia="Times New Roman"/>
          <w:sz w:val="26"/>
          <w:lang w:val="ru-RU"/>
        </w:rPr>
        <w:t xml:space="preserve">. Одна из групп индоевропейцев оформилась в </w:t>
      </w:r>
      <w:r>
        <w:rPr>
          <w:rFonts w:ascii="Times New Roman" w:hAnsi="Times New Roman" w:cs="Times New Roman" w:eastAsia="Times New Roman"/>
          <w:b/>
          <w:i/>
          <w:sz w:val="26"/>
          <w:lang w:val="ru-RU"/>
        </w:rPr>
        <w:t xml:space="preserve">балтов</w:t>
      </w:r>
      <w:r>
        <w:rPr>
          <w:rFonts w:ascii="Times New Roman" w:hAnsi="Times New Roman" w:cs="Times New Roman" w:eastAsia="Times New Roman"/>
          <w:sz w:val="26"/>
          <w:lang w:val="ru-RU"/>
        </w:rPr>
        <w:t xml:space="preserve">, которые и проживали на белорусских землях до 4 в. н.э. по берегам Нёмана и Западной Двины. В</w:t>
      </w:r>
      <w:r>
        <w:rPr>
          <w:rFonts w:ascii="Times New Roman" w:hAnsi="Times New Roman" w:cs="Times New Roman" w:eastAsia="Times New Roman"/>
          <w:sz w:val="26"/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6"/>
          <w:lang w:val="ru-RU"/>
        </w:rPr>
        <w:t xml:space="preserve">4-5 веке белорусские земли начинают заселять славянские племена и долгое время наблюдалось смешанное проживание </w:t>
      </w:r>
      <w:r>
        <w:rPr>
          <w:rFonts w:ascii="Times New Roman" w:hAnsi="Times New Roman" w:cs="Times New Roman" w:eastAsia="Times New Roman"/>
          <w:b/>
          <w:i/>
          <w:sz w:val="26"/>
          <w:lang w:val="ru-RU"/>
        </w:rPr>
        <w:t xml:space="preserve">славян</w:t>
      </w:r>
      <w:r>
        <w:rPr>
          <w:rFonts w:ascii="Times New Roman" w:hAnsi="Times New Roman" w:cs="Times New Roman" w:eastAsia="Times New Roman"/>
          <w:sz w:val="26"/>
          <w:lang w:val="ru-RU"/>
        </w:rPr>
        <w:t xml:space="preserve"> и балтов. Затем балты сливаются со славянами. Этот процесс называется </w:t>
      </w:r>
      <w:r>
        <w:rPr>
          <w:rFonts w:ascii="Times New Roman" w:hAnsi="Times New Roman" w:cs="Times New Roman" w:eastAsia="Times New Roman"/>
          <w:b/>
          <w:i/>
          <w:sz w:val="26"/>
          <w:lang w:val="ru-RU"/>
        </w:rPr>
        <w:t xml:space="preserve">славянизация</w:t>
      </w:r>
      <w:r>
        <w:rPr>
          <w:rFonts w:ascii="Times New Roman" w:hAnsi="Times New Roman" w:cs="Times New Roman" w:eastAsia="Times New Roman"/>
          <w:sz w:val="26"/>
          <w:lang w:val="ru-RU"/>
        </w:rPr>
        <w:t xml:space="preserve"> балтов. Со временем славяне разделились на восточных, западных и южных.</w:t>
      </w:r>
      <w:r>
        <w:rPr>
          <w:sz w:val="26"/>
        </w:rPr>
      </w:r>
    </w:p>
    <w:p>
      <w:pPr>
        <w:ind w:left="0" w:right="0" w:firstLine="425"/>
        <w:jc w:val="both"/>
        <w:rPr>
          <w:rFonts w:ascii="Times New Roman" w:hAnsi="Times New Roman" w:cs="Times New Roman" w:eastAsia="Times New Roman"/>
          <w:b/>
          <w:i/>
          <w:sz w:val="26"/>
        </w:rPr>
      </w:pPr>
      <w:r>
        <w:rPr>
          <w:rFonts w:ascii="Times New Roman" w:hAnsi="Times New Roman" w:cs="Times New Roman" w:eastAsia="Times New Roman"/>
          <w:sz w:val="26"/>
          <w:lang w:val="ru-RU"/>
        </w:rPr>
        <w:t xml:space="preserve">          Восточнославянские племена являются предками белорусов, украинцев и русских. В 8-9 веке в Беларуси сложились племенные объединения восточных славян: </w:t>
      </w:r>
      <w:r>
        <w:rPr>
          <w:rFonts w:ascii="Times New Roman" w:hAnsi="Times New Roman" w:cs="Times New Roman" w:eastAsia="Times New Roman"/>
          <w:b/>
          <w:i/>
          <w:sz w:val="26"/>
          <w:lang w:val="ru-RU"/>
        </w:rPr>
        <w:t xml:space="preserve">кривичи, дреговичи и радимичи</w:t>
      </w:r>
      <w:r>
        <w:rPr>
          <w:rFonts w:ascii="Times New Roman" w:hAnsi="Times New Roman" w:cs="Times New Roman" w:eastAsia="Times New Roman"/>
          <w:b/>
          <w:i/>
          <w:sz w:val="26"/>
          <w:lang w:val="ru-RU"/>
        </w:rPr>
        <w:t xml:space="preserve"> </w:t>
      </w:r>
      <w:r>
        <w:rPr>
          <w:rFonts w:ascii="Times New Roman" w:hAnsi="Times New Roman" w:cs="Times New Roman" w:eastAsia="Times New Roman"/>
          <w:b/>
          <w:i/>
          <w:sz w:val="26"/>
          <w:lang w:val="ru-RU"/>
        </w:rPr>
      </w:r>
      <w:r>
        <w:rPr>
          <w:rFonts w:ascii="Times New Roman" w:hAnsi="Times New Roman" w:cs="Times New Roman" w:eastAsia="Times New Roman"/>
          <w:b/>
          <w:i/>
          <w:sz w:val="26"/>
          <w:lang w:val="ru-RU"/>
        </w:rPr>
      </w:r>
    </w:p>
    <w:tbl>
      <w:tblPr>
        <w:tblStyle w:val="38"/>
        <w:tblW w:w="0" w:type="auto"/>
        <w:tblLayout w:type="fixed"/>
        <w:tblLook w:val="04A0" w:firstRow="1" w:lastRow="0" w:firstColumn="1" w:lastColumn="0" w:noHBand="0" w:noVBand="1"/>
      </w:tblPr>
      <w:tblGrid>
        <w:gridCol w:w="1797"/>
        <w:gridCol w:w="3402"/>
        <w:gridCol w:w="2812"/>
        <w:gridCol w:w="2670"/>
      </w:tblGrid>
      <w:tr>
        <w:trPr/>
        <w:tc>
          <w:tcPr>
            <w:tcW w:w="1797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sz w:val="26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z w:val="26"/>
              </w:rPr>
              <w:t xml:space="preserve">Признаки</w:t>
              <w:br/>
              <w:t xml:space="preserve">для сравнения</w:t>
            </w:r>
            <w:r>
              <w:rPr>
                <w:rFonts w:ascii="Times New Roman" w:hAnsi="Times New Roman" w:cs="Times New Roman" w:eastAsia="Times New Roman"/>
                <w:b/>
                <w:sz w:val="2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sz w:val="26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z w:val="26"/>
              </w:rPr>
              <w:t xml:space="preserve">Кривичи-полочане</w:t>
            </w:r>
            <w:r>
              <w:rPr>
                <w:rFonts w:ascii="Times New Roman" w:hAnsi="Times New Roman" w:cs="Times New Roman" w:eastAsia="Times New Roman"/>
                <w:b/>
                <w:sz w:val="26"/>
              </w:rPr>
            </w:r>
          </w:p>
        </w:tc>
        <w:tc>
          <w:tcPr>
            <w:tcW w:w="281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sz w:val="26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z w:val="26"/>
              </w:rPr>
              <w:t xml:space="preserve">Дреговичи</w:t>
            </w:r>
            <w:r>
              <w:rPr>
                <w:rFonts w:ascii="Times New Roman" w:hAnsi="Times New Roman" w:cs="Times New Roman" w:eastAsia="Times New Roman"/>
                <w:b/>
                <w:sz w:val="26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sz w:val="26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z w:val="26"/>
              </w:rPr>
              <w:t xml:space="preserve">Радимичи</w:t>
            </w:r>
            <w:r>
              <w:rPr>
                <w:rFonts w:ascii="Times New Roman" w:hAnsi="Times New Roman" w:cs="Times New Roman" w:eastAsia="Times New Roman"/>
                <w:b/>
                <w:sz w:val="26"/>
              </w:rPr>
            </w:r>
          </w:p>
        </w:tc>
      </w:tr>
      <w:tr>
        <w:trPr/>
        <w:tc>
          <w:tcPr>
            <w:tcW w:w="1797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sz w:val="26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z w:val="26"/>
              </w:rPr>
              <w:t xml:space="preserve">Происхождение названия</w:t>
            </w:r>
            <w:r>
              <w:rPr>
                <w:rFonts w:ascii="Times New Roman" w:hAnsi="Times New Roman" w:cs="Times New Roman" w:eastAsia="Times New Roman"/>
                <w:b/>
                <w:sz w:val="2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Кривичи — от имени старейшины Крива или от слова «кровные» (холмистая "кривая местность"), полочане — от реки Полоты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281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От слова «дрыгва» — трясина, болото (возможно князь Драговит)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От родоначальника племени по имени Радим (возможно от слова "родные" по крови)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/>
        <w:tc>
          <w:tcPr>
            <w:tcW w:w="1797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z w:val="26"/>
              </w:rPr>
              <w:t xml:space="preserve">Территория расселения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В верховьях Днепра и Западной Двины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281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юг Беларуси, бассейн Припяти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Восточные земли Беларуси, в основном около реки Сож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/>
        <w:tc>
          <w:tcPr>
            <w:tcW w:w="1797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color w:val="333333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z w:val="26"/>
              </w:rPr>
              <w:t xml:space="preserve">Город</w:t>
            </w: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 - центр племенного княжения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</w: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Полоцк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281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Туров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Гомель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  <w:tr>
        <w:trPr/>
        <w:tc>
          <w:tcPr>
            <w:tcW w:w="1797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z w:val="26"/>
              </w:rPr>
              <w:t xml:space="preserve">Особенности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Украшением полочанок были браслетообразные височные кольца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2812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Дреговичанки носили на висках кольца с металлическими бусинками</w:t>
              <w:br/>
              <w:t xml:space="preserve">с зернью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sz w:val="26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z w:val="26"/>
              </w:rPr>
              <w:t xml:space="preserve">Радимичанки носили семилучевыми височные</w:t>
              <w:br/>
              <w:t xml:space="preserve">кольца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</w:p>
        </w:tc>
      </w:tr>
    </w:tbl>
    <w:p>
      <w:pPr>
        <w:pStyle w:val="16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162"/>
        <w:rPr>
          <w:rFonts w:ascii="Times New Roman" w:hAnsi="Times New Roman" w:cs="Times New Roman" w:eastAsia="Times New Roman"/>
          <w:b/>
          <w:color w:val="000000" w:themeColor="text1"/>
          <w:sz w:val="26"/>
          <w:u w:val="singl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6"/>
          <w:u w:val="single"/>
        </w:rPr>
        <w:t xml:space="preserve">Хозяйственные отношения. </w:t>
      </w:r>
      <w:r>
        <w:rPr>
          <w:rFonts w:ascii="Times New Roman" w:hAnsi="Times New Roman" w:cs="Times New Roman" w:eastAsia="Times New Roman"/>
          <w:b/>
          <w:color w:val="000000" w:themeColor="text1"/>
          <w:sz w:val="26"/>
          <w:u w:val="single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  <w:t xml:space="preserve">Племена жили сельскими общинами -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вервь</w:t>
      </w:r>
      <w:r>
        <w:rPr>
          <w:rFonts w:ascii="Times New Roman" w:hAnsi="Times New Roman" w:cs="Times New Roman" w:eastAsia="Times New Roman"/>
          <w:sz w:val="26"/>
        </w:rPr>
        <w:t xml:space="preserve"> ("веревка"). Каждая семья имела свой надел. Развивалось имущественное неравенство, существовала знать и вождь (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княз</w:t>
      </w:r>
      <w:r>
        <w:rPr>
          <w:rFonts w:ascii="Times New Roman" w:hAnsi="Times New Roman" w:cs="Times New Roman" w:eastAsia="Times New Roman"/>
          <w:sz w:val="26"/>
        </w:rPr>
        <w:t xml:space="preserve">ь -"конезь", военачальник на коне). Важные вопросы решало собрание взрослых мужчин племени -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вече.</w:t>
      </w:r>
      <w:r>
        <w:rPr>
          <w:rFonts w:ascii="Times New Roman" w:hAnsi="Times New Roman" w:cs="Times New Roman" w:eastAsia="Times New Roman"/>
          <w:sz w:val="26"/>
        </w:rPr>
        <w:t xml:space="preserve"> Князь возглавлял 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дружину</w:t>
      </w:r>
      <w:r>
        <w:rPr>
          <w:rFonts w:ascii="Times New Roman" w:hAnsi="Times New Roman" w:cs="Times New Roman" w:eastAsia="Times New Roman"/>
          <w:sz w:val="26"/>
        </w:rPr>
        <w:t xml:space="preserve">, собирал с населения дань продуктами 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(полюдье).</w:t>
      </w:r>
      <w:r>
        <w:rPr>
          <w:rFonts w:ascii="Times New Roman" w:hAnsi="Times New Roman" w:cs="Times New Roman" w:eastAsia="Times New Roman"/>
          <w:sz w:val="26"/>
        </w:rPr>
        <w:t xml:space="preserve"> Основные занятия населения -земледелие и животноводство. Земледелие сначала было 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подсечно-огневое</w:t>
      </w:r>
      <w:r>
        <w:rPr>
          <w:rFonts w:ascii="Times New Roman" w:hAnsi="Times New Roman" w:cs="Times New Roman" w:eastAsia="Times New Roman"/>
          <w:sz w:val="26"/>
        </w:rPr>
        <w:t xml:space="preserve">. Участок леса вырубался, пни и ветки сжигались. Удобрением служил пепел. Для обработки земли использовали борону - суковатку. Потом перешли к 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пашенному</w:t>
      </w:r>
      <w:r>
        <w:rPr>
          <w:rFonts w:ascii="Times New Roman" w:hAnsi="Times New Roman" w:cs="Times New Roman" w:eastAsia="Times New Roman"/>
          <w:sz w:val="26"/>
        </w:rPr>
        <w:t xml:space="preserve"> земледелию, использовали рало, деревянную соху или железный плуг. Также занимались бортничеством, охотой и рыболовством.</w:t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Сначала хозяйство было 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натуральным</w:t>
      </w:r>
      <w:r>
        <w:rPr>
          <w:rFonts w:ascii="Times New Roman" w:hAnsi="Times New Roman" w:cs="Times New Roman" w:eastAsia="Times New Roman"/>
          <w:sz w:val="26"/>
        </w:rPr>
        <w:t xml:space="preserve"> (для собственного потребления) Потом развиваться стали ремесла и обмен. </w:t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Из ремесел важное значение имели ткачество, гончарство, кузнечное дело. Ремесленники старались селиться в укрепленных поселениях -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городищах.</w:t>
      </w:r>
      <w:r>
        <w:rPr>
          <w:rFonts w:ascii="Times New Roman" w:hAnsi="Times New Roman" w:cs="Times New Roman" w:eastAsia="Times New Roman"/>
          <w:sz w:val="26"/>
        </w:rPr>
        <w:t xml:space="preserve"> С увеличением населения городища превращаются в города.Основные места-пересечения рек, дорог, возвышенности с естественными природными укреплениями. Внутренняя часть города, укрепленная стенами, рвами и валами 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-дединец</w:t>
      </w:r>
      <w:r>
        <w:rPr>
          <w:rFonts w:ascii="Times New Roman" w:hAnsi="Times New Roman" w:cs="Times New Roman" w:eastAsia="Times New Roman"/>
          <w:sz w:val="26"/>
        </w:rPr>
        <w:t xml:space="preserve">. Вокруг - </w:t>
      </w:r>
      <w:r>
        <w:rPr>
          <w:rFonts w:ascii="Times New Roman" w:hAnsi="Times New Roman" w:cs="Times New Roman" w:eastAsia="Times New Roman"/>
          <w:b/>
          <w:i/>
          <w:sz w:val="26"/>
        </w:rPr>
        <w:t xml:space="preserve">посад,</w:t>
      </w:r>
      <w:r>
        <w:rPr>
          <w:rFonts w:ascii="Times New Roman" w:hAnsi="Times New Roman" w:cs="Times New Roman" w:eastAsia="Times New Roman"/>
          <w:sz w:val="26"/>
        </w:rPr>
        <w:t xml:space="preserve"> где жили ремесленники и торговцы, где был торг. К 9 веку в Беларуси около 30 городов. Старейшие из них: Полоцк 862, Туров 980, Заславль 985, Минск 1067, Пинск 1097. </w:t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/>
          <w:sz w:val="26"/>
        </w:rPr>
      </w:pPr>
      <w:r>
        <w:rPr>
          <w:rFonts w:ascii="Times New Roman" w:hAnsi="Times New Roman" w:cs="Times New Roman" w:eastAsia="Times New Roman"/>
          <w:b/>
          <w:sz w:val="26"/>
        </w:rPr>
        <w:t xml:space="preserve">Названия городов образовались:</w:t>
      </w:r>
      <w:r>
        <w:rPr>
          <w:rFonts w:ascii="Times New Roman" w:hAnsi="Times New Roman" w:cs="Times New Roman" w:eastAsia="Times New Roman"/>
          <w:b/>
          <w:sz w:val="26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1. От рек (Витьба, Случь, Менка)</w:t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2.От имен князей (Тур, Борис, Изяслав)</w:t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  <w:t xml:space="preserve">3.От природных особенностей: береста -Берестье, Каменец -камень</w:t>
      </w:r>
      <w:r>
        <w:rPr>
          <w:rFonts w:ascii="Times New Roman" w:hAnsi="Times New Roman" w:cs="Times New Roman" w:eastAsia="Times New Roman"/>
          <w:sz w:val="26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b/>
          <w:sz w:val="26"/>
        </w:rPr>
        <w:t xml:space="preserve">Функции городов:</w:t>
      </w:r>
      <w:r>
        <w:rPr>
          <w:rFonts w:ascii="Times New Roman" w:hAnsi="Times New Roman" w:cs="Times New Roman" w:eastAsia="Times New Roman"/>
          <w:sz w:val="26"/>
        </w:rPr>
        <w:t xml:space="preserve"> религиозная, административная, оборона, торговля</w:t>
      </w:r>
      <w:r>
        <w:rPr>
          <w:rFonts w:ascii="Times New Roman" w:hAnsi="Times New Roman" w:cs="Times New Roman" w:eastAsia="Times New Roman"/>
          <w:sz w:val="26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