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"/>
        <w:ind w:left="0" w:right="0" w:firstLine="0"/>
        <w:jc w:val="center"/>
        <w:spacing w:before="480" w:after="240" w:line="45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ЦЭ 21. Реформация, Религиозные войны и Контрреформация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8"/>
        <w:ind w:left="0" w:right="0" w:firstLine="0"/>
        <w:spacing w:before="240" w:after="24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Предпосылки и причины Реформации (XVI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Реформация — ключевое событие европейской истории, определившее развитие континента на столетия вперед. Это был первый масштабный протест формирующейся буржуазии против феодализма и его идеологической опоры — католической церкви.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причины: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</w:tblGrid>
      <w:tr>
        <w:trPr/>
        <w:tc>
          <w:tcPr>
            <w:tcW w:w="2616" w:type="dxa"/>
            <w:textDirection w:val="lrTb"/>
            <w:noWrap w:val="false"/>
          </w:tcPr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Религиозно-нравственные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ind w:left="0" w:right="0" w:firstLine="0"/>
              <w:spacing w:before="0" w:after="12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Политические: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ind w:left="0" w:right="0" w:firstLine="0"/>
              <w:spacing w:before="0" w:after="12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Социально-экономические: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ind w:left="0" w:right="0" w:firstLine="0"/>
              <w:spacing w:before="0" w:after="12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Культурные и технологические: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61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1.Коррупция в церковной иерархии.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2.Продажа индульгенций.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3.Бюрократизация религиозной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4.Потребность в глубоком личном духовном опыте без посредников.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1.Стремление правителей германских государств к независимости от власти Габсбургов.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2.Желание Англии освободиться от церковной зависимости от папы римского и континентальной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Рост городов и становление буржуазии.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Распространение идей индивидуализма.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2616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Изобретение книгопечатания (И. Гутенберг) — широкое распространение Библии и знаний.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Влияние идей Ренессанса (уважение к человеческому разуму).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240" w:after="24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Реформация стала результатом комплекса факторов — религиозных, политических, социально-экономических, культурных и технологических.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8"/>
        <w:ind w:left="0" w:right="0" w:firstLine="0"/>
        <w:spacing w:before="24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Особенности Реформации в разных странах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 w:after="120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Германия: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2"/>
        <w:numPr>
          <w:ilvl w:val="0"/>
          <w:numId w:val="16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Основатель: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Мартин Лютер.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17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Ключевое событие: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95 тезисов (1517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18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Основная идея: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Спасение достигается личной верой, а не «добрыми делами» или индульгенциями.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19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Проведение реформы: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Князья в своих владениях.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 w:after="120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Швейцария: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2"/>
        <w:numPr>
          <w:ilvl w:val="0"/>
          <w:numId w:val="2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Ульрих Цвингли: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Пошел дальше Лютера, отвергая любую церковную иерархию, не основанную прямо на Библии.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2"/>
        </w:numPr>
        <w:ind w:right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Жан Кальвин: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3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идеи: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Учение о предопределении, божественный суверенитет.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4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Практика: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Создал строгую церковную общину в Женеве с аскетическими правилами (запрет песен, танцев, яркой одежды; штрафы за непосещение служб; смертная казнь за инакомыслие).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 w:after="120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Англия: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2"/>
        <w:numPr>
          <w:ilvl w:val="0"/>
          <w:numId w:val="26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Инициатор: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Король Генрих VIII.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7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Отказ папы аннулировать брак.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8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Ключевое событие: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Акт о супрематии (1534 г.) — разрыв с папством, король стал главой церкви.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29"/>
        </w:numPr>
        <w:ind w:right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0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Умеренная Реформация.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многих элементов католицизма.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2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Англиканской церкви («средний путь»).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3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Социально-экономическое следствие: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Конфискация монастырских земель и их передача короне и «новому дворянству» (огораживания).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Итог Реформации: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 Возникновение протестантизма — общего направления, 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объединяющего лютеранство, кальвинизм, англиканство и др.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eastAsia="Arial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268"/>
        <w:gridCol w:w="3869"/>
        <w:gridCol w:w="292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Деятели / Инициаторы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6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Характер / Особенности Реформации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Ключевые события /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Мартин Лютер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(идеолог, 95 тезисов)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6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Инициатива "снизу" (идеологическая) и "сверху" (политическая).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Князья проводили реформу в своих владениях. Критика индульгенций и злоупотреблений церкви.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Основная идея: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Оправдание верой, а не делами. Заложены основы протестантизма. Религиозный раскол империи.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Швейцария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Ульрих Цвингли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Жан Кальвин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6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Радикальная реформация.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Отвержение всей церковной иерархии, не основанной на Библии. Строгий аскетизм и тотальный контроль над жизнью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Основные идеи: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Учение о предопределении, божественный суверенитет. Создание кальвинистской церковной общины в Женеве.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Англия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Король Генрих 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6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"Верхушечная" реформация, инициированная королем.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Умеренный характер. Сохранение многих элементов католицизма (обряды, иерархия).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Ключевое событие: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Акт о супрематии (1534 г.).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Итоги: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Разрыв с папой, создание Англиканской церкви во главе с королем. Конфискация монастырских земель.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Скандинавия (Дания, Швеция)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Короли при поддержке знати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6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"Королевская" реформация.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Проводилась монархами для укрепления своей власти и независимости.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Утверждение лютеранства в качестве государственной религии.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Нидерланды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Богатая и влиятельная буржуазия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6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Реформация "снизу", тесно связанная с национально-освободительной борьбой.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Восстание против Испании, приведшее к созданию независимой протестантской Республики Соединённых провинций.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Гугеноты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(французские кальвинисты)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6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Народное движение, встретившее сопротивление королевской власти и католиков.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Привело к затяжным гражданским войнам.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2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Ключевое событие: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Варфоломеевская ночь (1572 г.).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  <w:szCs w:val="24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color w:val="0f1115"/>
                <w:sz w:val="24"/>
                <w:szCs w:val="24"/>
              </w:rPr>
              <w:t xml:space="preserve"> Нантский эдикт (1598 г.) — дарование веротерпимости гугенотам.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8"/>
        <w:ind w:left="0" w:right="0" w:firstLine="0"/>
        <w:spacing w:before="240" w:after="24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Религиозные войны (XVI—XVII вв.)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Конфликты между католиками и протестантами, отражавшие также социальные, экономические и политические противоречия.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spacing w:before="0" w:after="120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Англия: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2"/>
        <w:numPr>
          <w:ilvl w:val="0"/>
          <w:numId w:val="35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Кровавые столкновения между протестантами и католиками после восшествия на престол Марии Тюдор (католички).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6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Стабилизация при Елизавете I (окончательное формирование англиканской церкви).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37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Раскол среди протестантов: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Англикане vs. Пуритане.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 w:after="120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Франция: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2"/>
        <w:numPr>
          <w:ilvl w:val="0"/>
          <w:numId w:val="39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Война между католиками и гугенотами (французскими кальвинистами).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0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Кульминация: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Варфоломеевская ночь (1572 г.) — массовая резня гугенотов.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Завершение: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Нантский эдикт (1598 г.) Генриха IV, даровавший гугенотам религиозные и гражданские права.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 w:after="120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Нидерланды: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2"/>
        <w:numPr>
          <w:ilvl w:val="0"/>
          <w:numId w:val="43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Восстание против Испании (политические и религиозные причины).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4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Образование Республики Соединенных провинций (северные, протестантские провинции).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8"/>
        <w:ind w:left="0" w:right="0" w:firstLine="0"/>
        <w:spacing w:before="240" w:after="24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Контрреформация (Католическая Реформа)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Реакция католической церкви, направленная на борьбу с протестантизмом и внутреннее обновление.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5"/>
        </w:numPr>
        <w:ind w:right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Начальный этап: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6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Ужесточение деятельности инквизиции.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7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Конгрегации святой инквизиции (1542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8"/>
        </w:numPr>
        <w:ind w:right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Главный инструмент: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Тридентский собор (1545—1563)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49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Установил строгий кодекс дисциплины для духовенства.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0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Регламентировал церковное образование.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Подтвердил важность и веры, и добрых дел для спасения (отвергнув идею Лютера о «только вера»).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2"/>
        </w:numPr>
        <w:ind w:right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действующие силы: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3"/>
        </w:numPr>
        <w:ind w:right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Орден иезуитов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(Игнатий Лойола):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4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«Боевой отряд воинствующей церкви».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5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Высокообразованны, активная миссионерская деятельность в Европе и на новых землях.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 w:after="1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Контрреформации: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7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Успех: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Сохранение влияния католицизма в Южной Европе (Италия, Испания, Португалия) и Польше.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8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Неудача: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Не удалось вернуть Северную Европу и большую часть Германии.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59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Значительное влияние на формирование современного облика католической церкви.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8"/>
        <w:ind w:left="0" w:right="0" w:firstLine="0"/>
        <w:spacing w:before="24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Общие итоги и значение Реформации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60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Духовные: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Изменение религиозной карты Европы, появление протестантизма.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61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Политические: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Появление национальных церквей, укрепление светской власти и централизованных национальных государств.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62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Социально-экономические: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Создание условий для развития буржуазного общества. Протестантизм оказался более адаптирован к нему, чем католицизм.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63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Культурные: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Рост грамотности и распространение знаний благодаря книгопечатанию.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2025-12-02T14:11:43Z</dcterms:modified>
</cp:coreProperties>
</file>