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 xml:space="preserve">Билет 5. </w:t>
      </w:r>
      <w:r/>
    </w:p>
    <w:p>
      <w:pPr>
        <w:pStyle w:val="675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 xml:space="preserve">Борьба с агрессией крестоносцев. Грюнвальдская битва: </w:t>
      </w:r>
      <w:r/>
    </w:p>
    <w:p>
      <w:pPr>
        <w:pStyle w:val="675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 xml:space="preserve">причины, значение, результаты</w:t>
      </w:r>
      <w:r>
        <w:rPr>
          <w:rFonts w:ascii="Times New Roman" w:hAnsi="Times New Roman" w:eastAsia="Times New Roman" w:cs="Times New Roman"/>
          <w:b/>
          <w:sz w:val="32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Борьба с крестоносцами - одна из причин объединения белорусских и балтских земель в общее государство ВКЛ. На побережье Балтийского моря усилиями крестоносцев и католической церкви были образованы военно-религиозные организации: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Орден меченосцев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Тевтонский орден.</w:t>
      </w:r>
      <w:r>
        <w:rPr>
          <w:rFonts w:ascii="Times New Roman" w:hAnsi="Times New Roman" w:eastAsia="Times New Roman" w:cs="Times New Roman"/>
          <w:sz w:val="28"/>
        </w:rPr>
        <w:t xml:space="preserve"> Они представляли угрозу для ВКЛ, основывали крепости (1201 –Рига), мешали торговле.</w:t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</w:rPr>
        <w:t xml:space="preserve">1237</w:t>
      </w:r>
      <w:r>
        <w:rPr>
          <w:rFonts w:ascii="Times New Roman" w:hAnsi="Times New Roman" w:eastAsia="Times New Roman" w:cs="Times New Roman"/>
          <w:sz w:val="28"/>
        </w:rPr>
        <w:t xml:space="preserve"> году два ордена объединились. Столицей Тевтонского Ордена был город Мальборк.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 этого времени участились набеги рыцарей ордена на Полоцкие и Новгородские земли. Тевт</w:t>
      </w:r>
      <w:r>
        <w:rPr>
          <w:rFonts w:ascii="Times New Roman" w:hAnsi="Times New Roman" w:eastAsia="Times New Roman" w:cs="Times New Roman"/>
          <w:sz w:val="28"/>
        </w:rPr>
        <w:t xml:space="preserve">онский орден стремился взять  под контроль устье Западной Двины, Понеманье и Жемайтию чтобы контролировать торговые пути. В сражениях против крестоносцев отличились князь Вячко (полоцкая династия) и Давид Городенский (староста), которые защищали земли ВКЛ, полоцкий князь Андрей (Полоцкий)</w:t>
      </w:r>
      <w:r/>
      <w:r/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</w:rPr>
        <w:t xml:space="preserve">1348</w:t>
      </w:r>
      <w:r>
        <w:rPr>
          <w:rFonts w:ascii="Times New Roman" w:hAnsi="Times New Roman" w:eastAsia="Times New Roman" w:cs="Times New Roman"/>
          <w:sz w:val="28"/>
        </w:rPr>
        <w:t xml:space="preserve"> войска ВКЛ участвовали в битве на реке</w:t>
      </w:r>
      <w:r>
        <w:rPr>
          <w:rFonts w:ascii="Times New Roman" w:hAnsi="Times New Roman" w:eastAsia="Times New Roman" w:cs="Times New Roman"/>
          <w:b/>
          <w:sz w:val="28"/>
        </w:rPr>
        <w:t xml:space="preserve"> Стреве,</w:t>
      </w:r>
      <w:r>
        <w:rPr>
          <w:rFonts w:ascii="Times New Roman" w:hAnsi="Times New Roman" w:eastAsia="Times New Roman" w:cs="Times New Roman"/>
          <w:sz w:val="28"/>
        </w:rPr>
        <w:t xml:space="preserve"> однако одержать победу не смогли.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Причины войны между ВКЛ и Тевтонским орденом</w:t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-Тевтонский орден препятствовал торговле ВКЛ</w:t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-принуждал союзные ВКЛ балтские племена к католичеству</w:t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-разорял земли</w:t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</w:p>
    <w:p>
      <w:pPr>
        <w:pStyle w:val="675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Решающее значение имела Грюнвальдская битва (вблизи Танненберга, Пруссия, сейчас Польша), которая состоялась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 15 июля 1410.</w:t>
      </w:r>
      <w:r>
        <w:rPr>
          <w:rFonts w:ascii="Times New Roman" w:hAnsi="Times New Roman" w:eastAsia="Times New Roman" w:cs="Times New Roman"/>
          <w:b/>
          <w:bCs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</w:p>
    <w:p>
      <w:pPr>
        <w:pStyle w:val="675"/>
        <w:rPr>
          <w:rFonts w:ascii="Times New Roman" w:hAnsi="Times New Roman" w:eastAsia="Times New Roman" w:cs="Times New Roman"/>
          <w:b/>
          <w:sz w:val="28"/>
          <w:u w:val="single"/>
        </w:rPr>
      </w:pPr>
      <w:r>
        <w:rPr>
          <w:rFonts w:ascii="Times New Roman" w:hAnsi="Times New Roman" w:eastAsia="Times New Roman" w:cs="Times New Roman"/>
          <w:sz w:val="28"/>
        </w:rPr>
        <w:t xml:space="preserve">1408-состоялся совет князя ВКЛ Витовта и короля Польши Ягайло, где было принято решение о войне с орденом. Война происходила в 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1409-1411</w:t>
      </w:r>
      <w:r>
        <w:rPr>
          <w:rFonts w:ascii="Times New Roman" w:hAnsi="Times New Roman" w:eastAsia="Times New Roman" w:cs="Times New Roman"/>
          <w:sz w:val="28"/>
        </w:rPr>
        <w:t xml:space="preserve"> и получила название 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"Великая война"</w:t>
      </w:r>
      <w:r>
        <w:rPr>
          <w:rFonts w:ascii="Times New Roman" w:hAnsi="Times New Roman" w:eastAsia="Times New Roman" w:cs="Times New Roman"/>
          <w:b/>
          <w:sz w:val="28"/>
          <w:u w:val="single"/>
        </w:rPr>
      </w:r>
      <w:r/>
    </w:p>
    <w:p>
      <w:pPr>
        <w:pStyle w:val="675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15 июля 1410 -главное сражение, битва под Грюнвальдом.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  <w:r/>
    </w:p>
    <w:p>
      <w:pPr>
        <w:pStyle w:val="675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Силы сторон</w:t>
      </w:r>
      <w:r>
        <w:rPr>
          <w:rFonts w:ascii="Times New Roman" w:hAnsi="Times New Roman" w:eastAsia="Times New Roman" w:cs="Times New Roman"/>
          <w:b/>
          <w:sz w:val="28"/>
        </w:rPr>
      </w:r>
      <w:r/>
    </w:p>
    <w:tbl>
      <w:tblPr>
        <w:tblStyle w:val="62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>
        <w:trPr/>
        <w:tc>
          <w:tcPr>
            <w:tcW w:w="534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Войско ВКЛ, войско Королевства Польского, русские дружины из Новгорода, татарская конница, отряд из Чехии под руководством Яна Жижки, полки Смоленского княжества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</w:tc>
        <w:tc>
          <w:tcPr>
            <w:tcW w:w="534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Рыцари Тевтонского ордена, наемные рыцари стран Европы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Общее руководство войсками -князь Ягайло, войска ВКЛ -Витовт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</w:tc>
        <w:tc>
          <w:tcPr>
            <w:tcW w:w="534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Возглавлял Орден магистр Ульрих фон Юнгинген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</w:tc>
      </w:tr>
      <w:tr>
        <w:trPr/>
        <w:tc>
          <w:tcPr>
            <w:tcW w:w="5341" w:type="dxa"/>
            <w:vMerge w:val="restart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40 тыс.воинов объединены в</w:t>
            </w:r>
            <w:r>
              <w:rPr>
                <w:i/>
                <w:sz w:val="28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 50 хоругвей Польши и 40 хоругвей ВКЛ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хоругви - боевые отряды,состоят из "копий" (боевых троек)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</w:tc>
        <w:tc>
          <w:tcPr>
            <w:tcW w:w="5341" w:type="dxa"/>
            <w:vMerge w:val="restart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i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</w:rPr>
              <w:t xml:space="preserve">около 30 тысяч воинов, вооружение лучшее, есть бомбарды (пушки), есть большой боевой опыт</w:t>
            </w:r>
            <w:r>
              <w:rPr>
                <w:rFonts w:ascii="Times New Roman" w:hAnsi="Times New Roman" w:eastAsia="Times New Roman" w:cs="Times New Roman"/>
                <w:i/>
                <w:sz w:val="28"/>
              </w:rPr>
            </w:r>
            <w:r/>
          </w:p>
        </w:tc>
      </w:tr>
    </w:tbl>
    <w:p>
      <w:pPr>
        <w:pStyle w:val="67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28"/>
        </w:rPr>
        <w:t xml:space="preserve">Во время боя крестоносцы применяли излюбленный приём - притворное отступление, чтобы</w:t>
      </w:r>
      <w:r>
        <w:rPr>
          <w:rFonts w:ascii="Times New Roman" w:hAnsi="Times New Roman" w:eastAsia="Times New Roman" w:cs="Times New Roman"/>
          <w:sz w:val="28"/>
        </w:rPr>
        <w:t xml:space="preserve"> подпустить врага к бомбардам ближе. Коннице Витовта был нанесён серьезный удар и она начала отступать. В это время Польское войско и Смоленские полки усилили натиск и войска ВКЛ перешли в наступление. В бою крестоносцы были окружены и потерпели поражение.</w:t>
      </w:r>
      <w:r>
        <w:rPr>
          <w:rFonts w:ascii="Times New Roman" w:hAnsi="Times New Roman" w:eastAsia="Times New Roman" w:cs="Times New Roman"/>
          <w:sz w:val="32"/>
        </w:rPr>
      </w:r>
      <w:r/>
    </w:p>
    <w:p>
      <w:pPr>
        <w:pStyle w:val="675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</w:rPr>
        <w:t xml:space="preserve">1411</w:t>
      </w:r>
      <w:r>
        <w:rPr>
          <w:rFonts w:ascii="Times New Roman" w:hAnsi="Times New Roman" w:eastAsia="Times New Roman" w:cs="Times New Roman"/>
          <w:sz w:val="28"/>
        </w:rPr>
        <w:t xml:space="preserve"> был подписан </w:t>
      </w:r>
      <w:r>
        <w:rPr>
          <w:rFonts w:ascii="Times New Roman" w:hAnsi="Times New Roman" w:eastAsia="Times New Roman" w:cs="Times New Roman"/>
          <w:b/>
          <w:sz w:val="28"/>
        </w:rPr>
        <w:t xml:space="preserve">Торуньский мир</w:t>
      </w:r>
      <w:r>
        <w:rPr>
          <w:rFonts w:ascii="Times New Roman" w:hAnsi="Times New Roman" w:eastAsia="Times New Roman" w:cs="Times New Roman"/>
          <w:b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-крестоносцы освобождали захваченные земли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-крестоносцы выплачивали контрибуцию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Победа в Грюнвальдской битве закончила 200-летнюю агрессию рыцарей в Европе и укрепила международный авторитет Великого Княжества Литовского.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tbl>
      <w:tblPr>
        <w:tblStyle w:val="625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  <w:t xml:space="preserve">Дополнительная информация к устному ответу: Борьба с крестоносцами.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</w:r>
            <w:r/>
          </w:p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  <w:t xml:space="preserve">Владимир Полоцкий.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</w:r>
            <w:r/>
          </w:p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  <w:t xml:space="preserve">Давыд Городенский.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</w:r>
            <w:r/>
          </w:p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  <w:t xml:space="preserve">Андрей Полоцкий.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</w:r>
            <w:r/>
          </w:p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green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green"/>
              </w:rPr>
            </w:r>
            <w:r/>
          </w:p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green"/>
              </w:rPr>
              <w:t xml:space="preserve">Владимир Полоцкий.</w:t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green"/>
              </w:rPr>
            </w:r>
            <w:r/>
          </w:p>
          <w:p>
            <w:pPr>
              <w:ind w:left="0" w:right="0" w:firstLine="0"/>
              <w:jc w:val="both"/>
              <w:spacing w:before="0" w:after="150"/>
              <w:shd w:val="clear" w:color="auto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  <w:t xml:space="preserve">В начале XIII в. Полоцкое княжество  столкнул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  <w:t xml:space="preserve">ось с агрессией крестоносцев. Полоцкий князь Владимир посвятил борьбе с немецкими рыцарями почти половину своего правления. Союзниками Полоцка были ливы, латгалы, эсты и литовцы.  В 1201 году 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  <w:t xml:space="preserve">в устье Двины крестоносцами основана крепость Рига. Балтские народы-язычники обращались к полоцкому князю Владимиру за помощью в защите от крестоносцев.  В 1203 году Владимир Полоцкий совместно с союзными князьями попатались взять 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  <w:t xml:space="preserve">крепости крестоносц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  <w:t xml:space="preserve">ев Ригу, Гольм, Икскюль, но были разбиты. Позже были предприняты еще несколько походов, также неудачные. Вооружение крестоносцев превосходило полоцкое. Крестоносцы покоряли языческие народы, устанавливали свои правила торговли по Двине. Для безопасности в 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  <w:t xml:space="preserve">1307  Полоцкая земля окончательно вошла в ВКЛ.  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</w:rPr>
            </w:r>
            <w:r/>
          </w:p>
          <w:p>
            <w:pPr>
              <w:pStyle w:val="675"/>
            </w:pP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  <w:t xml:space="preserve">Давыд Городзенский.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ru-RU"/>
              </w:rPr>
            </w:r>
            <w:r/>
          </w:p>
          <w:p>
            <w:pPr>
              <w:ind w:left="0" w:right="0" w:firstLine="0"/>
              <w:jc w:val="both"/>
              <w:spacing w:before="0" w:after="300"/>
              <w:shd w:val="clear" w:color="auto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u w:val="none"/>
              </w:rPr>
              <w:t xml:space="preserve">Давид Городенский — государственный деятель и полководец </w:t>
            </w:r>
            <w:hyperlink r:id="rId8" w:tooltip="https://history-belarus.by/pages/terms/wkl.php" w:history="1">
              <w:r>
                <w:rPr>
                  <w:rStyle w:val="647"/>
                  <w:rFonts w:ascii="Times New Roman" w:hAnsi="Times New Roman" w:eastAsia="Times New Roman" w:cs="Times New Roman"/>
                  <w:color w:val="000000" w:themeColor="text1"/>
                  <w:sz w:val="26"/>
                  <w:u w:val="none"/>
                </w:rPr>
                <w:t xml:space="preserve">Великого княжества Литовского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u w:val="none"/>
              </w:rPr>
              <w:t xml:space="preserve">, один из главных военачальников великого князя литовского </w:t>
            </w:r>
            <w:hyperlink r:id="rId9" w:tooltip="https://history-belarus.by/pages/figures/gedimin.php" w:history="1">
              <w:r>
                <w:rPr>
                  <w:rStyle w:val="647"/>
                  <w:rFonts w:ascii="Times New Roman" w:hAnsi="Times New Roman" w:eastAsia="Times New Roman" w:cs="Times New Roman"/>
                  <w:color w:val="000000" w:themeColor="text1"/>
                  <w:sz w:val="26"/>
                  <w:u w:val="none"/>
                </w:rPr>
                <w:t xml:space="preserve">Гедимина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u w:val="none"/>
              </w:rPr>
              <w:t xml:space="preserve">каштелян гродненский. Не потерпел ни одного поражения в битвах с рыцарями Тевтонского Ордена.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highlight w:val="white"/>
              </w:rPr>
              <w:t xml:space="preserve">В 1314 г. во время нападения крестоносцев на Новогрудок Давид уничтожил весь их обоз, забрал лошадей и заставил рыцарей бежать. Мало кто из крестоносцев вернулся домой, большинство полегло от голода и преследовавших воинов Давида.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  <w:t xml:space="preserve">Рыцари Ордена, видя в Давыде Городенском своего наиболее опасного врага и не имея сил уничтожить его, напали на его дом, сожгли его, возможно, убив при этом его семью.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  <w:t xml:space="preserve">Тогда князь Давыд нанёс поражение рыцарям в Мазовии, а в 1326 году он с небольшим количеством воинов совершает поход на Бранденбург. Соединенное войско дошло до Франкфурта, проникнув в самый центр Германии. Однако сам Давыд погиб в этом походе.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</w:r>
            <w:r/>
          </w:p>
          <w:p>
            <w:pPr>
              <w:ind w:left="0" w:right="0" w:firstLine="0"/>
              <w:jc w:val="both"/>
              <w:spacing w:before="0" w:after="300"/>
              <w:shd w:val="clear" w:color="auto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</w:rPr>
              <w:t xml:space="preserve">Андрей Полоцкий.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</w:rPr>
            </w:r>
            <w:r/>
          </w:p>
          <w:p>
            <w:pPr>
              <w:ind w:left="0" w:right="0" w:firstLine="0"/>
              <w:jc w:val="both"/>
              <w:spacing w:before="0" w:after="300"/>
              <w:shd w:val="clear" w:color="auto" w:fill="ffff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gree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1348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 г. в Полоцке княжил 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highlight w:val="white"/>
              </w:rPr>
              <w:t xml:space="preserve">Андрей Ольгердович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. В середине 14 века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 Полоцк выдержал  5 осад крестоносцев. Позже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 полочане сами совершили поход в Ливонию и разрушили город Динабург.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Для более успешной борьбы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highlight w:val="white"/>
              </w:rPr>
              <w:t xml:space="preserve"> с ливонскими рыцарями полочане построили недалеко от Динабурга «Новый замок» (современная Друя). Попытки уничтожить его крестоносцы предпринимали в 1376 и 1377 гг. Они обстреливали замок из камнеметов и бомбард, но вынуждены были вернуться назад ни с чем.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u w:val="none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7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81"/>
    <w:link w:val="679"/>
    <w:uiPriority w:val="10"/>
    <w:rPr>
      <w:sz w:val="48"/>
      <w:szCs w:val="48"/>
    </w:rPr>
  </w:style>
  <w:style w:type="character" w:styleId="36">
    <w:name w:val="Subtitle Char"/>
    <w:basedOn w:val="681"/>
    <w:link w:val="677"/>
    <w:uiPriority w:val="11"/>
    <w:rPr>
      <w:sz w:val="24"/>
      <w:szCs w:val="24"/>
    </w:rPr>
  </w:style>
  <w:style w:type="character" w:styleId="38">
    <w:name w:val="Quote Char"/>
    <w:link w:val="676"/>
    <w:uiPriority w:val="29"/>
    <w:rPr>
      <w:i/>
    </w:rPr>
  </w:style>
  <w:style w:type="character" w:styleId="40">
    <w:name w:val="Intense Quote Char"/>
    <w:link w:val="678"/>
    <w:uiPriority w:val="30"/>
    <w:rPr>
      <w:i/>
    </w:rPr>
  </w:style>
  <w:style w:type="character" w:styleId="42">
    <w:name w:val="Header Char"/>
    <w:basedOn w:val="681"/>
    <w:link w:val="674"/>
    <w:uiPriority w:val="99"/>
  </w:style>
  <w:style w:type="character" w:styleId="44">
    <w:name w:val="Footer Char"/>
    <w:basedOn w:val="681"/>
    <w:link w:val="673"/>
    <w:uiPriority w:val="99"/>
  </w:style>
  <w:style w:type="paragraph" w:styleId="45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3"/>
    <w:uiPriority w:val="99"/>
  </w:style>
  <w:style w:type="table" w:styleId="4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177">
    <w:name w:val="endnote text"/>
    <w:basedOn w:val="66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90">
    <w:name w:val="table of figures"/>
    <w:basedOn w:val="661"/>
    <w:next w:val="661"/>
    <w:uiPriority w:val="99"/>
    <w:unhideWhenUsed/>
    <w:pPr>
      <w:spacing w:after="0" w:afterAutospacing="0"/>
    </w:pPr>
  </w:style>
  <w:style w:type="character" w:styleId="616">
    <w:name w:val="Heading 1 Char"/>
    <w:uiPriority w:val="9"/>
    <w:rPr>
      <w:rFonts w:ascii="Arial" w:hAnsi="Arial" w:eastAsia="Arial" w:cs="Arial"/>
      <w:b/>
      <w:bCs/>
      <w:color w:val="000000" w:themeColor="text1"/>
      <w:sz w:val="48"/>
      <w:szCs w:val="48"/>
    </w:rPr>
  </w:style>
  <w:style w:type="character" w:styleId="617">
    <w:name w:val="Heading 2 Char"/>
    <w:uiPriority w:val="9"/>
    <w:rPr>
      <w:rFonts w:ascii="Arial" w:hAnsi="Arial" w:eastAsia="Arial" w:cs="Arial"/>
      <w:b/>
      <w:bCs/>
      <w:color w:val="000000" w:themeColor="text1"/>
      <w:sz w:val="40"/>
      <w:szCs w:val="40"/>
    </w:rPr>
  </w:style>
  <w:style w:type="character" w:styleId="618">
    <w:name w:val="Heading 3 Char"/>
    <w:uiPriority w:val="9"/>
    <w:rPr>
      <w:rFonts w:ascii="Arial" w:hAnsi="Arial" w:eastAsia="Arial" w:cs="Arial"/>
      <w:b/>
      <w:bCs/>
      <w:i/>
      <w:iCs/>
      <w:color w:val="000000" w:themeColor="text1"/>
      <w:sz w:val="40"/>
      <w:szCs w:val="40"/>
    </w:rPr>
  </w:style>
  <w:style w:type="character" w:styleId="619">
    <w:name w:val="Heading 4 Char"/>
    <w:uiPriority w:val="9"/>
    <w:rPr>
      <w:rFonts w:ascii="Arial" w:hAnsi="Arial" w:eastAsia="Arial" w:cs="Arial"/>
      <w:color w:val="232323"/>
      <w:sz w:val="32"/>
      <w:szCs w:val="32"/>
    </w:rPr>
  </w:style>
  <w:style w:type="character" w:styleId="620">
    <w:name w:val="Heading 5 Char"/>
    <w:uiPriority w:val="9"/>
    <w:rPr>
      <w:rFonts w:ascii="Arial" w:hAnsi="Arial" w:eastAsia="Arial" w:cs="Arial"/>
      <w:b/>
      <w:bCs/>
      <w:color w:val="444444"/>
      <w:sz w:val="28"/>
      <w:szCs w:val="28"/>
    </w:rPr>
  </w:style>
  <w:style w:type="character" w:styleId="621">
    <w:name w:val="Heading 6 Char"/>
    <w:uiPriority w:val="9"/>
    <w:rPr>
      <w:rFonts w:ascii="Arial" w:hAnsi="Arial" w:eastAsia="Arial" w:cs="Arial"/>
      <w:i/>
      <w:iCs/>
      <w:color w:val="232323"/>
      <w:sz w:val="28"/>
      <w:szCs w:val="28"/>
    </w:rPr>
  </w:style>
  <w:style w:type="character" w:styleId="622">
    <w:name w:val="Heading 7 Char"/>
    <w:uiPriority w:val="9"/>
    <w:rPr>
      <w:rFonts w:ascii="Arial" w:hAnsi="Arial" w:eastAsia="Arial" w:cs="Arial"/>
      <w:b/>
      <w:bCs/>
      <w:color w:val="606060"/>
      <w:sz w:val="28"/>
      <w:szCs w:val="28"/>
    </w:rPr>
  </w:style>
  <w:style w:type="character" w:styleId="623">
    <w:name w:val="Heading 8 Char"/>
    <w:uiPriority w:val="9"/>
    <w:rPr>
      <w:rFonts w:ascii="Arial" w:hAnsi="Arial" w:eastAsia="Arial" w:cs="Arial"/>
      <w:color w:val="444444"/>
      <w:sz w:val="24"/>
      <w:szCs w:val="24"/>
    </w:rPr>
  </w:style>
  <w:style w:type="character" w:styleId="624">
    <w:name w:val="Heading 9 Char"/>
    <w:uiPriority w:val="9"/>
    <w:rPr>
      <w:rFonts w:ascii="Arial" w:hAnsi="Arial" w:eastAsia="Arial" w:cs="Arial"/>
      <w:i/>
      <w:iCs/>
      <w:color w:val="444444"/>
      <w:sz w:val="23"/>
      <w:szCs w:val="23"/>
    </w:rPr>
  </w:style>
  <w:style w:type="table" w:styleId="625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6">
    <w:name w:val="Lined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27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28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9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630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31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32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633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34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35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36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7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8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9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40">
    <w:name w:val="Bordered &amp; Lined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4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4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4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4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4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paragraph" w:styleId="648">
    <w:name w:val="footnote text"/>
    <w:basedOn w:val="661"/>
    <w:uiPriority w:val="99"/>
    <w:semiHidden/>
    <w:unhideWhenUsed/>
    <w:pPr>
      <w:spacing w:after="0" w:line="240" w:lineRule="auto"/>
    </w:pPr>
    <w:rPr>
      <w:sz w:val="20"/>
    </w:rPr>
  </w:style>
  <w:style w:type="character" w:styleId="649">
    <w:name w:val="Footnote Text Char"/>
    <w:uiPriority w:val="99"/>
    <w:semiHidden/>
    <w:rPr>
      <w:sz w:val="20"/>
    </w:rPr>
  </w:style>
  <w:style w:type="character" w:styleId="650">
    <w:name w:val="footnote reference"/>
    <w:uiPriority w:val="99"/>
    <w:semiHidden/>
    <w:unhideWhenUsed/>
    <w:rPr>
      <w:vertAlign w:val="superscript"/>
    </w:rPr>
  </w:style>
  <w:style w:type="paragraph" w:styleId="65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65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65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65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65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65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65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65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65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660">
    <w:name w:val="TOC Heading"/>
    <w:uiPriority w:val="39"/>
    <w:unhideWhenUsed/>
  </w:style>
  <w:style w:type="paragraph" w:styleId="661" w:default="1">
    <w:name w:val="Normal"/>
    <w:qFormat/>
  </w:style>
  <w:style w:type="paragraph" w:styleId="662">
    <w:name w:val="Heading 1"/>
    <w:basedOn w:val="661"/>
    <w:next w:val="661"/>
    <w:uiPriority w:val="9"/>
    <w:qFormat/>
    <w:pPr>
      <w:keepLines/>
      <w:keepNext/>
      <w:spacing w:before="480" w:after="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663">
    <w:name w:val="Heading 2"/>
    <w:basedOn w:val="661"/>
    <w:next w:val="661"/>
    <w:uiPriority w:val="9"/>
    <w:unhideWhenUsed/>
    <w:qFormat/>
    <w:pPr>
      <w:keepLines/>
      <w:keepNext/>
      <w:spacing w:before="200" w:after="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664">
    <w:name w:val="Heading 3"/>
    <w:basedOn w:val="661"/>
    <w:next w:val="661"/>
    <w:uiPriority w:val="9"/>
    <w:unhideWhenUsed/>
    <w:qFormat/>
    <w:pPr>
      <w:keepLines/>
      <w:keepNext/>
      <w:spacing w:before="200" w:after="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665">
    <w:name w:val="Heading 4"/>
    <w:basedOn w:val="661"/>
    <w:next w:val="661"/>
    <w:uiPriority w:val="9"/>
    <w:unhideWhenUsed/>
    <w:qFormat/>
    <w:pPr>
      <w:keepLines/>
      <w:keepNext/>
      <w:spacing w:before="200" w:after="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666">
    <w:name w:val="Heading 5"/>
    <w:basedOn w:val="661"/>
    <w:next w:val="661"/>
    <w:uiPriority w:val="9"/>
    <w:unhideWhenUsed/>
    <w:qFormat/>
    <w:pPr>
      <w:keepLines/>
      <w:keepNext/>
      <w:spacing w:before="200" w:after="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67">
    <w:name w:val="Heading 6"/>
    <w:basedOn w:val="661"/>
    <w:next w:val="661"/>
    <w:uiPriority w:val="9"/>
    <w:unhideWhenUsed/>
    <w:qFormat/>
    <w:pPr>
      <w:keepLines/>
      <w:keepNext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668">
    <w:name w:val="Heading 7"/>
    <w:basedOn w:val="661"/>
    <w:next w:val="661"/>
    <w:uiPriority w:val="9"/>
    <w:unhideWhenUsed/>
    <w:qFormat/>
    <w:pPr>
      <w:keepLines/>
      <w:keepNext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669">
    <w:name w:val="Heading 8"/>
    <w:basedOn w:val="661"/>
    <w:next w:val="661"/>
    <w:uiPriority w:val="9"/>
    <w:unhideWhenUsed/>
    <w:qFormat/>
    <w:pPr>
      <w:keepLines/>
      <w:keepNext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670">
    <w:name w:val="Heading 9"/>
    <w:basedOn w:val="661"/>
    <w:next w:val="661"/>
    <w:uiPriority w:val="9"/>
    <w:unhideWhenUsed/>
    <w:qFormat/>
    <w:pPr>
      <w:keepLines/>
      <w:keepNext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Footer"/>
    <w:basedOn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4">
    <w:name w:val="Header"/>
    <w:basedOn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5">
    <w:name w:val="No Spacing"/>
    <w:basedOn w:val="661"/>
    <w:uiPriority w:val="1"/>
    <w:qFormat/>
    <w:pPr>
      <w:spacing w:after="0" w:line="240" w:lineRule="auto"/>
    </w:pPr>
  </w:style>
  <w:style w:type="paragraph" w:styleId="676">
    <w:name w:val="Quote"/>
    <w:basedOn w:val="661"/>
    <w:next w:val="66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677">
    <w:name w:val="Subtitle"/>
    <w:basedOn w:val="661"/>
    <w:next w:val="661"/>
    <w:uiPriority w:val="11"/>
    <w:qFormat/>
    <w:pPr>
      <w:numPr>
        <w:ilvl w:val="1"/>
      </w:numPr>
      <w:spacing w:line="240" w:lineRule="auto"/>
      <w:outlineLvl w:val="0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678">
    <w:name w:val="Intense Quote"/>
    <w:basedOn w:val="661"/>
    <w:next w:val="661"/>
    <w:uiPriority w:val="30"/>
    <w:qFormat/>
    <w:pPr>
      <w:ind w:left="567" w:right="567"/>
      <w:jc w:val="both"/>
      <w:shd w:val="clear" w:color="auto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679">
    <w:name w:val="Title"/>
    <w:basedOn w:val="661"/>
    <w:next w:val="661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  <w:outlineLvl w:val="0"/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680">
    <w:name w:val="List Paragraph"/>
    <w:basedOn w:val="661"/>
    <w:uiPriority w:val="34"/>
    <w:qFormat/>
    <w:pPr>
      <w:contextualSpacing/>
      <w:ind w:left="720"/>
    </w:pPr>
  </w:style>
  <w:style w:type="character" w:styleId="68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history-belarus.by/pages/terms/wkl.php" TargetMode="External"/><Relationship Id="rId9" Type="http://schemas.openxmlformats.org/officeDocument/2006/relationships/hyperlink" Target="https://history-belarus.by/pages/figures/gedimin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2024-10-25T18:59:07Z</dcterms:modified>
</cp:coreProperties>
</file>