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Билет 5.</w:t>
      </w:r>
      <w:r>
        <w:t xml:space="preserve"> </w:t>
      </w:r>
      <w:r>
        <w:rPr>
          <w:rFonts w:ascii="Times New Roman" w:hAnsi="Times New Roman" w:cs="Times New Roman" w:eastAsia="Times New Roman"/>
          <w:b/>
          <w:sz w:val="28"/>
        </w:rPr>
        <w:t xml:space="preserve">Практическое задание. "Новый порядок" на оккупированной территории Беларуси.</w:t>
      </w:r>
      <w:r>
        <w:rPr>
          <w:rFonts w:ascii="Times New Roman" w:hAnsi="Times New Roman" w:cs="Times New Roman" w:eastAsia="Times New Roman"/>
          <w:b/>
          <w:sz w:val="28"/>
        </w:rPr>
      </w:r>
    </w:p>
    <w:p>
      <w:r>
        <w:drawing>
          <wp:inline xmlns:wp="http://schemas.openxmlformats.org/drawingml/2006/wordprocessingDrawing" distT="0" distB="0" distL="0" distR="0">
            <wp:extent cx="5133149" cy="3849861"/>
            <wp:effectExtent l="0" t="0" r="0" b="0"/>
            <wp:docPr id="1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flipH="0" flipV="0">
                      <a:off x="0" y="0"/>
                      <a:ext cx="5133149" cy="38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rPr>
          <w:rFonts w:ascii="Times New Roman" w:hAnsi="Times New Roman" w:cs="Times New Roman" w:eastAsia="Times New Roman"/>
          <w:sz w:val="24"/>
        </w:rPr>
      </w:pPr>
      <w:r>
        <w:rPr>
          <w:rFonts w:ascii="Times New Roman" w:hAnsi="Times New Roman" w:cs="Times New Roman" w:eastAsia="Times New Roman"/>
          <w:sz w:val="24"/>
        </w:rPr>
        <w:t xml:space="preserve">1.Охарактеризовать административное устройство на оккупированной территории.</w:t>
      </w:r>
      <w:r>
        <w:rPr>
          <w:rFonts w:ascii="Times New Roman" w:hAnsi="Times New Roman" w:cs="Times New Roman" w:eastAsia="Times New Roman"/>
          <w:sz w:val="24"/>
        </w:rPr>
      </w:r>
    </w:p>
    <w:p>
      <w:r/>
      <w:r>
        <w:drawing>
          <wp:inline xmlns:wp="http://schemas.openxmlformats.org/drawingml/2006/wordprocessingDrawing" distT="0" distB="0" distL="0" distR="0">
            <wp:extent cx="5061012" cy="3986624"/>
            <wp:effectExtent l="0" t="0" r="0" b="0"/>
            <wp:docPr id="2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hidden="0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 flipH="0" flipV="0">
                      <a:off x="0" y="0"/>
                      <a:ext cx="5061012" cy="39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/>
    </w:p>
    <w:p>
      <w:pPr>
        <w:rPr>
          <w:rFonts w:ascii="Times New Roman" w:hAnsi="Times New Roman" w:cs="Times New Roman" w:eastAsia="Times New Roman"/>
          <w:sz w:val="24"/>
        </w:rPr>
      </w:pPr>
      <w:r>
        <w:rPr>
          <w:rFonts w:ascii="Times New Roman" w:hAnsi="Times New Roman" w:cs="Times New Roman" w:eastAsia="Times New Roman"/>
          <w:sz w:val="24"/>
        </w:rPr>
        <w:t xml:space="preserve">2.Используя карту, охарактеризовать политику фашистской Германии, направленную на массовое уничтожение населения Беларуси</w:t>
      </w:r>
      <w:r>
        <w:rPr>
          <w:rFonts w:ascii="Times New Roman" w:hAnsi="Times New Roman" w:cs="Times New Roman" w:eastAsia="Times New Roman"/>
          <w:sz w:val="24"/>
        </w:rPr>
      </w:r>
    </w:p>
    <w:p>
      <w:r/>
      <w:r/>
    </w:p>
    <w:p>
      <w:r/>
      <w:r/>
    </w:p>
    <w:p>
      <w:pPr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3</w:t>
      </w:r>
      <w:r>
        <w:rPr>
          <w:rFonts w:ascii="Times New Roman" w:hAnsi="Times New Roman" w:cs="Times New Roman" w:eastAsia="Times New Roman"/>
          <w:b/>
          <w:sz w:val="28"/>
        </w:rPr>
        <w:t xml:space="preserve">. Некоторые предложения рейхсфюрера СС Г. Гиммлера об отношениях с местным населением восточных областей. [Не позднее 25 мая 1940 г.]</w:t>
      </w:r>
      <w:r>
        <w:rPr>
          <w:rFonts w:ascii="Times New Roman" w:hAnsi="Times New Roman" w:cs="Times New Roman" w:eastAsia="Times New Roman"/>
          <w:b/>
          <w:sz w:val="28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 «При обращении с местным населением восточных областей мы должны исходить из того, что нам придется признать по возможности больше отдельных народностей и  установить свое отношение к  ним… Мы в высшей степени заинтересованы в том, чтобы ни в коем случае не объединять народы восточных областей, а, наоборот, дробить их на возможно более мелкие ветви и группы. Что же касается отдельных народностей, мы не намерены стремиться к  их сплочению и  увеличению, тем более к  постепенному привитию им национального сознания и национальной культуры… Принципиальным вопросом в решении всех этих проблем является вопрос о системе образования и тем самым — об отборе и фильтровании молодежи. Для ненемецкого населения восточных областей не должно быть высших школ. Для него достаточно наличия четырехклассной нар</w:t>
      </w:r>
      <w:r>
        <w:rPr>
          <w:rFonts w:ascii="Times New Roman" w:hAnsi="Times New Roman" w:cs="Times New Roman" w:eastAsia="Times New Roman"/>
        </w:rPr>
        <w:t xml:space="preserve">одной школы. Целью обучения в этой народной школе должно быть только: простой счет, самое большое до 500, умение расписаться, внушение, что божественная заповедь заключается в  том, чтобы повиноваться немцам, быть честным, старательным и послушным. Умение читать я считаю ненужным. Кроме школы этого типа в восточных областях не должно быть больше вообще никаких школ…» 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  <w:b/>
        </w:rPr>
      </w:pPr>
      <w:r>
        <w:rPr>
          <w:rFonts w:ascii="Times New Roman" w:hAnsi="Times New Roman" w:cs="Times New Roman" w:eastAsia="Times New Roman"/>
          <w:b/>
        </w:rPr>
        <w:t xml:space="preserve">Сделайте анализ исторического источника, ответив на вопросы</w:t>
      </w:r>
      <w:r>
        <w:rPr>
          <w:rFonts w:ascii="Times New Roman" w:hAnsi="Times New Roman" w:cs="Times New Roman" w:eastAsia="Times New Roman"/>
          <w:b/>
        </w:rPr>
      </w:r>
    </w:p>
    <w:p>
      <w:pPr>
        <w:pStyle w:val="162"/>
        <w:rPr>
          <w:rFonts w:ascii="Times New Roman" w:hAnsi="Times New Roman" w:cs="Times New Roman" w:eastAsia="Times New Roman"/>
          <w:b/>
        </w:rPr>
      </w:pPr>
      <w:r>
        <w:rPr>
          <w:rFonts w:ascii="Times New Roman" w:hAnsi="Times New Roman" w:cs="Times New Roman" w:eastAsia="Times New Roman"/>
          <w:b/>
        </w:rPr>
        <w:t xml:space="preserve">а)Кто является автором этих заметок? Когда они составлены?</w:t>
      </w:r>
      <w:r>
        <w:rPr>
          <w:rFonts w:ascii="Times New Roman" w:hAnsi="Times New Roman" w:cs="Times New Roman" w:eastAsia="Times New Roman"/>
          <w:b/>
        </w:rPr>
      </w:r>
      <w:r>
        <w:rPr>
          <w:rFonts w:ascii="Times New Roman" w:hAnsi="Times New Roman" w:cs="Times New Roman" w:eastAsia="Times New Roman"/>
          <w:b/>
        </w:rPr>
      </w:r>
    </w:p>
    <w:p>
      <w:pPr>
        <w:pStyle w:val="162"/>
        <w:rPr>
          <w:rFonts w:ascii="Times New Roman" w:hAnsi="Times New Roman" w:cs="Times New Roman" w:eastAsia="Times New Roman"/>
          <w:b/>
        </w:rPr>
      </w:pPr>
      <w:r>
        <w:rPr>
          <w:rFonts w:ascii="Times New Roman" w:hAnsi="Times New Roman" w:cs="Times New Roman" w:eastAsia="Times New Roman"/>
          <w:b/>
        </w:rPr>
        <w:t xml:space="preserve">б)Какая позиция по национальному вопросу здесь имеет место?</w:t>
      </w:r>
      <w:r>
        <w:rPr>
          <w:rFonts w:ascii="Times New Roman" w:hAnsi="Times New Roman" w:cs="Times New Roman" w:eastAsia="Times New Roman"/>
          <w:b/>
        </w:rPr>
      </w:r>
    </w:p>
    <w:p>
      <w:pPr>
        <w:pStyle w:val="162"/>
        <w:rPr>
          <w:rFonts w:ascii="Times New Roman" w:hAnsi="Times New Roman" w:cs="Times New Roman" w:eastAsia="Times New Roman"/>
          <w:b/>
        </w:rPr>
      </w:pPr>
      <w:r>
        <w:rPr>
          <w:rFonts w:ascii="Times New Roman" w:hAnsi="Times New Roman" w:cs="Times New Roman" w:eastAsia="Times New Roman"/>
          <w:b/>
        </w:rPr>
        <w:t xml:space="preserve">в)Какую политику по отношению к белорусскому населению предполагается осуществлять?</w:t>
      </w:r>
      <w:r>
        <w:rPr>
          <w:rFonts w:ascii="Times New Roman" w:hAnsi="Times New Roman" w:cs="Times New Roman" w:eastAsia="Times New Roman"/>
          <w:b/>
        </w:rPr>
      </w:r>
    </w:p>
    <w:p>
      <w:pPr>
        <w:pStyle w:val="162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pStyle w:val="162"/>
        <w:jc w:val="center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</w:r>
      <w:r>
        <w:rPr>
          <w:rFonts w:ascii="Times New Roman" w:hAnsi="Times New Roman" w:cs="Times New Roman" w:eastAsia="Times New Roman"/>
          <w:b/>
          <w:sz w:val="24"/>
        </w:rPr>
        <w:t xml:space="preserve">Из приказа начальника штаба верховного командования вермахта В. Кейтеля. 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pStyle w:val="162"/>
        <w:jc w:val="center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16 сентября 1941 г. «Содержание: Коммунистическое повстанческое движение на оккупированных территориях.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4"/>
        </w:rPr>
      </w:pPr>
      <w:r>
        <w:rPr>
          <w:rFonts w:ascii="Times New Roman" w:hAnsi="Times New Roman" w:cs="Times New Roman" w:eastAsia="Times New Roman"/>
          <w:b w:val="false"/>
          <w:sz w:val="24"/>
        </w:rPr>
        <w:t xml:space="preserve"> 1. С начала войны против Советской России на оккупированных Германией территориях повсеместно вспыхнуло повстанческое движение. Формы действий варьируются от пропагандистских мероприятий и  нападений на отдельных военнослужащих вермахта до открытых восстаний и  широкой войны силами банд. Следует указать, что здесь речь идет о массовом движении, централизованно руководимом из Москвы. Отсюда проистекают и  отдельные кажущиеся незначительными инциденты в  областях, которые до сего времени были спокойными. </w:t>
      </w:r>
      <w:r/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4"/>
        </w:rPr>
      </w:pPr>
      <w:r>
        <w:rPr>
          <w:rFonts w:ascii="Times New Roman" w:hAnsi="Times New Roman" w:cs="Times New Roman" w:eastAsia="Times New Roman"/>
          <w:b w:val="false"/>
          <w:sz w:val="24"/>
        </w:rPr>
        <w:t xml:space="preserve">2. Принимавшиеся до сего времени мероприятия, направленные против этого всеобщего коммунистического повстанческого движения, оказались недостаточными. Фюрер распорядился, чтобы повсюду пустить в ход самые крутые меры для подавления в кратчайший срок </w:t>
      </w:r>
      <w:r>
        <w:rPr>
          <w:rFonts w:ascii="Times New Roman" w:hAnsi="Times New Roman" w:cs="Times New Roman" w:eastAsia="Times New Roman"/>
          <w:b w:val="false"/>
        </w:rPr>
        <w:t xml:space="preserve">этого движения… </w:t>
      </w:r>
      <w:r/>
    </w:p>
    <w:p>
      <w:pPr>
        <w:pStyle w:val="162"/>
        <w:jc w:val="both"/>
        <w:rPr>
          <w:rFonts w:ascii="Times New Roman" w:hAnsi="Times New Roman" w:cs="Times New Roman" w:eastAsia="Times New Roman"/>
          <w:b w:val="false"/>
          <w:sz w:val="24"/>
        </w:rPr>
      </w:pPr>
      <w:r>
        <w:rPr>
          <w:rFonts w:ascii="Times New Roman" w:hAnsi="Times New Roman" w:cs="Times New Roman" w:eastAsia="Times New Roman"/>
          <w:b w:val="false"/>
          <w:sz w:val="24"/>
        </w:rPr>
        <w:t xml:space="preserve">3. При этом в своих действиях следует руководствоваться следующими положениями: а) каждый случай сопротивления немецким оккупационным властям, независимо от обстоятельств, следует расценивать как проявление коммунистических происков; б) …в качестве искупления за жизнь одного немецкого солдата в таких случаях, как правило, должна считаться смертная казнь для 50—100 коммунистов. Способ приведения приговора в исполнение должен еще больше усилить устрашающее воздействие... г) силы местного населения не годятся для проведения таких насильственных мероприятий. Увеличение этих сил создаст повышенную угрозу для собственных войск. И к нему поэтому не следует стремиться. Зато можно широко использовать премии и  вознаграждение для населения, чтобы обеспечить его сотрудничество в  подходящей форме». </w:t>
      </w:r>
      <w:r>
        <w:rPr>
          <w:rFonts w:ascii="Times New Roman" w:hAnsi="Times New Roman" w:cs="Times New Roman" w:eastAsia="Times New Roman"/>
          <w:b w:val="false"/>
          <w:sz w:val="24"/>
        </w:rPr>
      </w:r>
      <w:r>
        <w:rPr>
          <w:rFonts w:ascii="Times New Roman" w:hAnsi="Times New Roman" w:cs="Times New Roman" w:eastAsia="Times New Roman"/>
          <w:b w:val="false"/>
          <w:sz w:val="24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 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 Дайте оценку действиям оккупантов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pStyle w:val="162"/>
        <w:jc w:val="both"/>
      </w:pPr>
      <w:r>
        <w:rPr>
          <w:rFonts w:ascii="Times New Roman" w:hAnsi="Times New Roman" w:cs="Times New Roman" w:eastAsia="Times New Roman"/>
          <w:b/>
          <w:sz w:val="24"/>
        </w:rPr>
      </w:r>
      <w:r>
        <w:drawing>
          <wp:inline xmlns:wp="http://schemas.openxmlformats.org/drawingml/2006/wordprocessingDrawing" distT="0" distB="0" distL="0" distR="0">
            <wp:extent cx="6049350" cy="3706199"/>
            <wp:effectExtent l="0" t="0" r="0" b="0"/>
            <wp:docPr id="3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hidden="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 flipH="0" flipV="0">
                      <a:off x="0" y="0"/>
                      <a:ext cx="6049350" cy="37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b/>
          <w:sz w:val="24"/>
        </w:rPr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pStyle w:val="162"/>
        <w:jc w:val="both"/>
      </w:pPr>
      <w:r/>
      <w:r/>
    </w:p>
    <w:p>
      <w:pPr>
        <w:pStyle w:val="16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Фотохроника. Озаричи. Лагерь смерти.</w:t>
      </w:r>
      <w:r>
        <w:rPr>
          <w:rFonts w:ascii="Times New Roman" w:hAnsi="Times New Roman" w:cs="Times New Roman" w:eastAsia="Times New Roman"/>
        </w:rPr>
      </w:r>
    </w:p>
    <w:p>
      <w:pPr>
        <w:pStyle w:val="16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pStyle w:val="162"/>
        <w:jc w:val="both"/>
      </w:pPr>
      <w:r>
        <w:rPr>
          <w:rFonts w:ascii="Times New Roman" w:hAnsi="Times New Roman" w:cs="Times New Roman" w:eastAsia="Times New Roman"/>
        </w:rPr>
      </w:r>
      <w:r>
        <w:drawing>
          <wp:inline xmlns:wp="http://schemas.openxmlformats.org/drawingml/2006/wordprocessingDrawing" distT="0" distB="0" distL="0" distR="0">
            <wp:extent cx="5115899" cy="2397541"/>
            <wp:effectExtent l="0" t="0" r="0" b="0"/>
            <wp:docPr id="4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 flipH="0" flipV="0">
                      <a:off x="0" y="0"/>
                      <a:ext cx="5115899" cy="239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pStyle w:val="162"/>
        <w:jc w:val="both"/>
      </w:pPr>
      <w:r/>
      <w:r/>
    </w:p>
    <w:p>
      <w:pPr>
        <w:pStyle w:val="162"/>
        <w:jc w:val="both"/>
        <w:rPr>
          <w:rFonts w:ascii="Times New Roman" w:hAnsi="Times New Roman" w:cs="Times New Roman" w:eastAsia="Times New Roman"/>
          <w:b/>
          <w:sz w:val="24"/>
        </w:rPr>
      </w:pPr>
      <w:r>
        <w:t xml:space="preserve">Что вы знаете об условиях существования людей в концентрационных лагерях. Используйте фото для описания (Озаричи)</w:t>
      </w:r>
      <w:r/>
    </w:p>
    <w:sectPr>
      <w:footnotePr/>
      <w:type w:val="nextPage"/>
      <w:pgSz w:w="11906" w:h="16838"/>
      <w:pgMar w:top="720" w:right="720" w:bottom="720" w:left="720" w:gutter="0" w:header="709" w:footer="709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uiPriority w:val="9"/>
    <w:rPr>
      <w:rFonts w:ascii="Arial" w:hAnsi="Arial" w:cs="Arial" w:eastAsia="Arial"/>
      <w:b/>
      <w:bCs/>
      <w:color w:val="000000" w:themeColor="text1"/>
      <w:sz w:val="48"/>
      <w:szCs w:val="48"/>
    </w:rPr>
  </w:style>
  <w:style w:type="character" w:styleId="14">
    <w:name w:val="Heading 2 Char"/>
    <w:basedOn w:val="9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character" w:styleId="16">
    <w:name w:val="Heading 3 Char"/>
    <w:basedOn w:val="9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character" w:styleId="18">
    <w:name w:val="Heading 4 Char"/>
    <w:basedOn w:val="9"/>
    <w:uiPriority w:val="9"/>
    <w:rPr>
      <w:rFonts w:ascii="Arial" w:hAnsi="Arial" w:cs="Arial" w:eastAsia="Arial"/>
      <w:color w:val="232323"/>
      <w:sz w:val="32"/>
      <w:szCs w:val="32"/>
    </w:rPr>
  </w:style>
  <w:style w:type="character" w:styleId="20">
    <w:name w:val="Heading 5 Char"/>
    <w:basedOn w:val="9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character" w:styleId="22">
    <w:name w:val="Heading 6 Char"/>
    <w:basedOn w:val="9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character" w:styleId="24">
    <w:name w:val="Heading 7 Char"/>
    <w:basedOn w:val="9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character" w:styleId="26">
    <w:name w:val="Heading 8 Char"/>
    <w:basedOn w:val="9"/>
    <w:uiPriority w:val="9"/>
    <w:rPr>
      <w:rFonts w:ascii="Arial" w:hAnsi="Arial" w:cs="Arial" w:eastAsia="Arial"/>
      <w:color w:val="444444"/>
      <w:sz w:val="24"/>
      <w:szCs w:val="24"/>
    </w:rPr>
  </w:style>
  <w:style w:type="character" w:styleId="28">
    <w:name w:val="Heading 9 Char"/>
    <w:basedOn w:val="9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table" w:styleId="38">
    <w:name w:val="Table Grid"/>
    <w:basedOn w:val="1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39">
    <w:name w:val="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0">
    <w:name w:val="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1">
    <w:name w:val="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2">
    <w:name w:val="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3">
    <w:name w:val="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4">
    <w:name w:val="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45">
    <w:name w:val="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46">
    <w:name w:val="Bordered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47">
    <w:name w:val="Bordered - Accent 1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48">
    <w:name w:val="Bordered - Accent 2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9">
    <w:name w:val="Bordered - Accent 3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0">
    <w:name w:val="Bordered - Accent 4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1">
    <w:name w:val="Bordered - Accent 5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2">
    <w:name w:val="Bordered - Accent 6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3">
    <w:name w:val="Bordered &amp; 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4">
    <w:name w:val="Bordered &amp; 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5">
    <w:name w:val="Bordered &amp; 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6">
    <w:name w:val="Bordered &amp; 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57">
    <w:name w:val="Bordered &amp; 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8">
    <w:name w:val="Bordered &amp; 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9">
    <w:name w:val="Bordered &amp; 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0">
    <w:name w:val="Hyperlink"/>
    <w:uiPriority w:val="99"/>
    <w:unhideWhenUsed/>
    <w:rPr>
      <w:color w:val="0000FF" w:themeColor="hyperlink"/>
      <w:u w:val="single"/>
    </w:rPr>
  </w:style>
  <w:style w:type="paragraph" w:styleId="61">
    <w:name w:val="footnote text"/>
    <w:basedOn w:val="148"/>
    <w:uiPriority w:val="99"/>
    <w:semiHidden/>
    <w:unhideWhenUsed/>
    <w:rPr>
      <w:sz w:val="20"/>
    </w:rPr>
    <w:pPr>
      <w:spacing w:lineRule="auto" w:line="240" w:after="0"/>
    </w:pPr>
  </w:style>
  <w:style w:type="character" w:styleId="62">
    <w:name w:val="Footnote Text Char"/>
    <w:basedOn w:val="9"/>
    <w:uiPriority w:val="99"/>
    <w:semiHidden/>
    <w:rPr>
      <w:sz w:val="20"/>
    </w:rPr>
  </w:style>
  <w:style w:type="character" w:styleId="63">
    <w:name w:val="footnote reference"/>
    <w:basedOn w:val="9"/>
    <w:uiPriority w:val="99"/>
    <w:semiHidden/>
    <w:unhideWhenUsed/>
    <w:rPr>
      <w:vertAlign w:val="superscript"/>
    </w:rPr>
  </w:style>
  <w:style w:type="paragraph" w:styleId="64">
    <w:name w:val="toc 1"/>
    <w:basedOn w:val="148"/>
    <w:next w:val="148"/>
    <w:uiPriority w:val="39"/>
    <w:unhideWhenUsed/>
    <w:pPr>
      <w:ind w:left="0" w:right="0" w:hanging="0"/>
      <w:spacing w:after="57"/>
    </w:pPr>
  </w:style>
  <w:style w:type="paragraph" w:styleId="65">
    <w:name w:val="toc 2"/>
    <w:basedOn w:val="148"/>
    <w:next w:val="148"/>
    <w:uiPriority w:val="39"/>
    <w:unhideWhenUsed/>
    <w:pPr>
      <w:ind w:left="283" w:right="0" w:hanging="0"/>
      <w:spacing w:after="57"/>
    </w:pPr>
  </w:style>
  <w:style w:type="paragraph" w:styleId="66">
    <w:name w:val="toc 3"/>
    <w:basedOn w:val="148"/>
    <w:next w:val="148"/>
    <w:uiPriority w:val="39"/>
    <w:unhideWhenUsed/>
    <w:pPr>
      <w:ind w:left="567" w:right="0" w:hanging="0"/>
      <w:spacing w:after="57"/>
    </w:pPr>
  </w:style>
  <w:style w:type="paragraph" w:styleId="67">
    <w:name w:val="toc 4"/>
    <w:basedOn w:val="148"/>
    <w:next w:val="148"/>
    <w:uiPriority w:val="39"/>
    <w:unhideWhenUsed/>
    <w:pPr>
      <w:ind w:left="850" w:right="0" w:hanging="0"/>
      <w:spacing w:after="57"/>
    </w:pPr>
  </w:style>
  <w:style w:type="paragraph" w:styleId="68">
    <w:name w:val="toc 5"/>
    <w:basedOn w:val="148"/>
    <w:next w:val="148"/>
    <w:uiPriority w:val="39"/>
    <w:unhideWhenUsed/>
    <w:pPr>
      <w:ind w:left="1134" w:right="0" w:hanging="0"/>
      <w:spacing w:after="57"/>
    </w:pPr>
  </w:style>
  <w:style w:type="paragraph" w:styleId="69">
    <w:name w:val="toc 6"/>
    <w:basedOn w:val="148"/>
    <w:next w:val="148"/>
    <w:uiPriority w:val="39"/>
    <w:unhideWhenUsed/>
    <w:pPr>
      <w:ind w:left="1417" w:right="0" w:hanging="0"/>
      <w:spacing w:after="57"/>
    </w:pPr>
  </w:style>
  <w:style w:type="paragraph" w:styleId="70">
    <w:name w:val="toc 7"/>
    <w:basedOn w:val="148"/>
    <w:next w:val="148"/>
    <w:uiPriority w:val="39"/>
    <w:unhideWhenUsed/>
    <w:pPr>
      <w:ind w:left="1701" w:right="0" w:hanging="0"/>
      <w:spacing w:after="57"/>
    </w:pPr>
  </w:style>
  <w:style w:type="paragraph" w:styleId="71">
    <w:name w:val="toc 8"/>
    <w:basedOn w:val="148"/>
    <w:next w:val="148"/>
    <w:uiPriority w:val="39"/>
    <w:unhideWhenUsed/>
    <w:pPr>
      <w:ind w:left="1984" w:right="0" w:hanging="0"/>
      <w:spacing w:after="57"/>
    </w:pPr>
  </w:style>
  <w:style w:type="paragraph" w:styleId="72">
    <w:name w:val="toc 9"/>
    <w:basedOn w:val="148"/>
    <w:next w:val="148"/>
    <w:uiPriority w:val="39"/>
    <w:unhideWhenUsed/>
    <w:pPr>
      <w:ind w:left="2268" w:right="0" w:hanging="0"/>
      <w:spacing w:after="57"/>
    </w:pPr>
  </w:style>
  <w:style w:type="paragraph" w:styleId="73">
    <w:name w:val="TOC Heading"/>
    <w:uiPriority w:val="39"/>
    <w:unhideWhenUsed/>
  </w:style>
  <w:style w:type="paragraph" w:styleId="148" w:default="1">
    <w:name w:val="Normal"/>
    <w:qFormat/>
  </w:style>
  <w:style w:type="paragraph" w:styleId="149">
    <w:name w:val="Heading 1"/>
    <w:basedOn w:val="148"/>
    <w:next w:val="148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  <w:outlineLvl w:val="0"/>
    </w:pPr>
  </w:style>
  <w:style w:type="paragraph" w:styleId="150">
    <w:name w:val="Heading 2"/>
    <w:basedOn w:val="148"/>
    <w:next w:val="148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  <w:outlineLvl w:val="1"/>
    </w:pPr>
  </w:style>
  <w:style w:type="paragraph" w:styleId="151">
    <w:name w:val="Heading 3"/>
    <w:basedOn w:val="148"/>
    <w:next w:val="148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paragraph" w:styleId="152">
    <w:name w:val="Heading 4"/>
    <w:basedOn w:val="148"/>
    <w:next w:val="148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paragraph" w:styleId="153">
    <w:name w:val="Heading 5"/>
    <w:basedOn w:val="148"/>
    <w:next w:val="148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paragraph" w:styleId="154">
    <w:name w:val="Heading 6"/>
    <w:basedOn w:val="148"/>
    <w:next w:val="148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paragraph" w:styleId="155">
    <w:name w:val="Heading 7"/>
    <w:basedOn w:val="148"/>
    <w:next w:val="148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paragraph" w:styleId="156">
    <w:name w:val="Heading 8"/>
    <w:basedOn w:val="148"/>
    <w:next w:val="148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paragraph" w:styleId="157">
    <w:name w:val="Heading 9"/>
    <w:basedOn w:val="148"/>
    <w:next w:val="148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table" w:styleId="1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9" w:default="1">
    <w:name w:val="No List"/>
    <w:uiPriority w:val="99"/>
    <w:semiHidden/>
    <w:unhideWhenUsed/>
  </w:style>
  <w:style w:type="paragraph" w:styleId="160">
    <w:name w:val="Foot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1">
    <w:name w:val="Head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2">
    <w:name w:val="No Spacing"/>
    <w:basedOn w:val="148"/>
    <w:qFormat/>
    <w:uiPriority w:val="1"/>
    <w:pPr>
      <w:spacing w:lineRule="auto" w:line="240" w:after="0"/>
    </w:pPr>
  </w:style>
  <w:style w:type="paragraph" w:styleId="163">
    <w:name w:val="Quote"/>
    <w:basedOn w:val="148"/>
    <w:next w:val="148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164">
    <w:name w:val="Subtitle"/>
    <w:basedOn w:val="148"/>
    <w:next w:val="148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  <w:outlineLvl w:val="0"/>
    </w:pPr>
  </w:style>
  <w:style w:type="paragraph" w:styleId="165">
    <w:name w:val="Intense Quote"/>
    <w:basedOn w:val="148"/>
    <w:next w:val="148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166">
    <w:name w:val="Title"/>
    <w:basedOn w:val="148"/>
    <w:next w:val="148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  <w:outlineLvl w:val="0"/>
    </w:pPr>
  </w:style>
  <w:style w:type="paragraph" w:styleId="167">
    <w:name w:val="List Paragraph"/>
    <w:basedOn w:val="148"/>
    <w:qFormat/>
    <w:uiPriority w:val="34"/>
    <w:pPr>
      <w:contextualSpacing w:val="true"/>
      <w:ind w:left="720"/>
    </w:pPr>
  </w:style>
  <w:style w:type="character" w:styleId="172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