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Билет 11.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Примерное практическое задание. Освобождение Беларуси от немецко-фашистских захватчиков.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20475" cy="346716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560810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3620475" cy="346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0.0pt;mso-position-horizontal:absolute;mso-position-vertical-relative:text;margin-top:0.0pt;mso-position-vertical:absolute;width:285.1pt;height:273.0pt;mso-wrap-distance-left:9.1pt;mso-wrap-distance-top:0.0pt;mso-wrap-distance-right:9.1pt;mso-wrap-distance-bottom:0.0pt;" wrapcoords="0 0 100000 0 100000 100000 0 10000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3735675</wp:posOffset>
                </wp:positionH>
                <wp:positionV relativeFrom="paragraph">
                  <wp:posOffset>0</wp:posOffset>
                </wp:positionV>
                <wp:extent cx="3060950" cy="2043184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04200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060949" cy="2043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4096;o:allowoverlap:true;o:allowincell:true;mso-position-horizontal-relative:text;margin-left:294.1pt;mso-position-horizontal:absolute;mso-position-vertical-relative:text;margin-top:0.0pt;mso-position-vertical:absolute;width:241.0pt;height:160.9pt;mso-wrap-distance-left:9.1pt;mso-wrap-distance-top:0.0pt;mso-wrap-distance-right:9.1pt;mso-wrap-distance-bottom:0.0pt;" wrapcoords="0 0 100000 0 100000 100000 0 10000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185525" cy="2043184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89732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185525" cy="2043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72.1pt;height:160.9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Парад партизан в Минске 1944</w:t>
      </w:r>
      <w:r>
        <w:rPr>
          <w:highlight w:val="none"/>
        </w:rPr>
        <w:t xml:space="preserve">.                      </w:t>
      </w:r>
      <w:r>
        <w:rPr>
          <w:rFonts w:ascii="Times New Roman" w:hAnsi="Times New Roman" w:cs="Times New Roman"/>
          <w:highlight w:val="none"/>
        </w:rPr>
        <w:t xml:space="preserve">    Мемориал «Операция «Багратион»</w:t>
      </w:r>
      <w:r>
        <w:rPr>
          <w:rFonts w:ascii="Times New Roman" w:hAnsi="Times New Roman" w:cs="Times New Roman"/>
          <w:b/>
          <w:bCs/>
        </w:rPr>
      </w:r>
    </w:p>
    <w:p>
      <w:pPr>
        <w:jc w:val="left"/>
        <w:rPr>
          <w:b/>
          <w:bCs/>
        </w:rPr>
      </w:pPr>
      <w:r>
        <w:rPr>
          <w:highlight w:val="none"/>
        </w:rPr>
        <w:t xml:space="preserve">»</w:t>
      </w:r>
      <w:r>
        <w:rPr>
          <w:b/>
          <w:bCs/>
        </w:rPr>
        <w:t xml:space="preserve">Из Постановления ЦК КП(б)Б «О разрушении ж.-д. коммуникаций про‑ тивника методом рельсовой войны». Июнь 1943 г.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i/>
          <w:highlight w:val="none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«...</w:t>
      </w:r>
      <w:r>
        <w:rPr>
          <w:rFonts w:ascii="Times New Roman" w:hAnsi="Times New Roman" w:cs="Times New Roman"/>
          <w:i/>
          <w:iCs/>
        </w:rPr>
        <w:t xml:space="preserve">Методом рельсовой войны разрушение коммуникаций можно довести до  степени катастрофической для немецко-фашистских войск. При массовом применении этого способа борьбы противник принужден будет проводить огромные работы трудоемкого характера по замене взорва</w:t>
      </w:r>
      <w:r>
        <w:rPr>
          <w:rFonts w:ascii="Times New Roman" w:hAnsi="Times New Roman" w:cs="Times New Roman"/>
          <w:i/>
          <w:iCs/>
        </w:rPr>
        <w:t xml:space="preserve">нных  рельсов для восстановления путей. Потребуется доставлять колоссальное количество стали, проката, что для него будет почти неразрешимой задачей. Коренная дезорганизация ж.-д. коммуникаций вра</w:t>
      </w:r>
      <w:r>
        <w:rPr>
          <w:rFonts w:ascii="Times New Roman" w:hAnsi="Times New Roman" w:cs="Times New Roman"/>
          <w:i/>
          <w:iCs/>
        </w:rPr>
        <w:t xml:space="preserve">га составит историческую заслугу белорусских партизан в Великой Отечественной войне советского народа против немецко-фашистских захватчиков.</w:t>
      </w:r>
      <w:r>
        <w:rPr>
          <w:rFonts w:ascii="Times New Roman" w:hAnsi="Times New Roman" w:cs="Times New Roman"/>
          <w:i/>
          <w:iCs/>
          <w:highlight w:val="none"/>
        </w:rPr>
        <w:t xml:space="preserve">»</w:t>
      </w:r>
      <w:r>
        <w:rPr>
          <w:rFonts w:ascii="Times New Roman" w:hAnsi="Times New Roman" w:cs="Times New Roman"/>
          <w:i/>
          <w:iCs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Задание: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1.Укажите сроки белорусской наступательной операции.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2.Какие силы принимали участие в операции по освобождению Беларуси?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3.Какая задача была возложена на партизанские соединения на территории Беларуси?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4.Определите населенные пункты, в освобождении которых принимали участие партизанские соединения.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2022-11-14T06:10:32Z</dcterms:modified>
</cp:coreProperties>
</file>