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Arial" w:cs="Times New Roman"/>
          <w:b/>
          <w:color w:val="0f1115"/>
          <w:sz w:val="24"/>
          <w:szCs w:val="24"/>
        </w:rPr>
        <w:t xml:space="preserve">История Беларуси в контексте всемирной истории</w:t>
      </w:r>
      <w:r>
        <w:rPr>
          <w:rFonts w:ascii="Times New Roman" w:hAnsi="Times New Roman" w:cs="Times New Roman"/>
          <w:sz w:val="24"/>
          <w:szCs w:val="24"/>
        </w:rPr>
        <w:t xml:space="preserve">. Культура 16-18. Религия.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Arial" w:cs="Times New Roman"/>
          <w:b/>
          <w:color w:val="0f1115"/>
          <w:sz w:val="24"/>
          <w:szCs w:val="24"/>
        </w:rPr>
        <w:t xml:space="preserve">ЧАСТЬ 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b/>
          <w:color w:val="0f1115"/>
          <w:sz w:val="24"/>
          <w:szCs w:val="24"/>
        </w:rPr>
        <w:t xml:space="preserve">В каждом задании части А только один из предложенных ответов является верным.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b/>
          <w:color w:val="0f1115"/>
          <w:sz w:val="24"/>
          <w:szCs w:val="24"/>
        </w:rPr>
        <w:t xml:space="preserve">А1.</w:t>
      </w: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 Первое в Европе министерство образования — Эдукационная комиссия — было создано в: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numPr>
          <w:numId w:val="106"/>
          <w:ilvl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1579 г.;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numPr>
          <w:numId w:val="106"/>
          <w:ilvl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1596 г.;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numPr>
          <w:numId w:val="106"/>
          <w:ilvl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1697 г.;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numPr>
          <w:numId w:val="106"/>
          <w:ilvl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1773 г.;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numPr>
          <w:numId w:val="106"/>
          <w:ilvl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1795 г.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b/>
          <w:color w:val="0f1115"/>
          <w:sz w:val="24"/>
          <w:szCs w:val="24"/>
        </w:rPr>
        <w:t xml:space="preserve">А2.</w:t>
      </w: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 Виленская иезуитская академия была преобразована из коллегиума в академию: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numPr>
          <w:numId w:val="107"/>
          <w:ilvl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1569 г.;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numPr>
          <w:numId w:val="107"/>
          <w:ilvl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1570 г.;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numPr>
          <w:numId w:val="107"/>
          <w:ilvl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1579 г.;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numPr>
          <w:numId w:val="107"/>
          <w:ilvl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1588 г.;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numPr>
          <w:numId w:val="107"/>
          <w:ilvl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1596 г.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b/>
          <w:color w:val="0f1115"/>
          <w:sz w:val="24"/>
          <w:szCs w:val="24"/>
        </w:rPr>
        <w:t xml:space="preserve">А3.</w:t>
      </w: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 Автором «Букваря» — книги для обучения детей грамоте и воспитания в духе православия, изданной в Кутейно в 1631 г., является: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numPr>
          <w:numId w:val="108"/>
          <w:ilvl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Франциск Скорина;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numPr>
          <w:numId w:val="108"/>
          <w:ilvl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Спиридон Соболь;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numPr>
          <w:numId w:val="108"/>
          <w:ilvl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Симеон Полоцкий;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numPr>
          <w:numId w:val="108"/>
          <w:ilvl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Илья Копиевич;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numPr>
          <w:numId w:val="108"/>
          <w:ilvl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Мелетий Смотрицкий.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b/>
          <w:color w:val="0f1115"/>
          <w:sz w:val="24"/>
          <w:szCs w:val="24"/>
        </w:rPr>
        <w:t xml:space="preserve">А4.</w:t>
      </w: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 Определите верное утверждение о развитии образования на территории Беларуси в XVI–XVII вв.: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numPr>
          <w:numId w:val="109"/>
          <w:ilvl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Протестантские школы создавались только для детей иностранцев;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numPr>
          <w:numId w:val="109"/>
          <w:ilvl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В иезуитских коллегиумах обучались исключительно католики;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numPr>
          <w:numId w:val="109"/>
          <w:ilvl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Православные братские школы были всесословными;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numPr>
          <w:numId w:val="109"/>
          <w:ilvl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Униатские школы полностью копировали протестантскую систему образования;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numPr>
          <w:numId w:val="109"/>
          <w:ilvl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Высшее образование можно было получить только в Виленской академии.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b/>
          <w:color w:val="0f1115"/>
          <w:sz w:val="24"/>
          <w:szCs w:val="24"/>
        </w:rPr>
        <w:t xml:space="preserve">А5.</w:t>
      </w: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 Система взглядов, согласно которой единственным источником богатства признавалась земля и сельскохозяйственный труд, получила название: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numPr>
          <w:numId w:val="110"/>
          <w:ilvl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сарматизм;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numPr>
          <w:numId w:val="110"/>
          <w:ilvl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схоластика;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numPr>
          <w:numId w:val="110"/>
          <w:ilvl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физиократизм;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numPr>
          <w:numId w:val="110"/>
          <w:ilvl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гуманизм;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numPr>
          <w:numId w:val="110"/>
          <w:ilvl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классицизм.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b/>
          <w:color w:val="0f1115"/>
          <w:sz w:val="24"/>
          <w:szCs w:val="24"/>
        </w:rPr>
        <w:t xml:space="preserve">А6.</w:t>
      </w: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 В 1697 г. в официальном делопроизводстве Великого Княжества Литовского произошло следующее изменение: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numPr>
          <w:numId w:val="111"/>
          <w:ilvl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старобелорусский язык был заменен польским;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numPr>
          <w:numId w:val="111"/>
          <w:ilvl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латинский язык был заменен старобелорусским;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numPr>
          <w:numId w:val="111"/>
          <w:ilvl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была введена должность газетного цензора;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numPr>
          <w:numId w:val="111"/>
          <w:ilvl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открыта Виленская иезуитская академия;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numPr>
          <w:numId w:val="111"/>
          <w:ilvl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создана Эдукационная комиссия.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b/>
          <w:color w:val="0f1115"/>
          <w:sz w:val="24"/>
          <w:szCs w:val="24"/>
        </w:rPr>
        <w:t xml:space="preserve">А7.</w:t>
      </w: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 Идеология, согласно которой шляхта Речи Посполитой якобы происходила от воинственных сарматов, получила название: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numPr>
          <w:numId w:val="112"/>
          <w:ilvl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барокко;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numPr>
          <w:numId w:val="112"/>
          <w:ilvl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сарматизм;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numPr>
          <w:numId w:val="112"/>
          <w:ilvl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рококо;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numPr>
          <w:numId w:val="112"/>
          <w:ilvl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классицизм;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numPr>
          <w:numId w:val="112"/>
          <w:ilvl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гуманизм.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b/>
          <w:color w:val="0f1115"/>
          <w:sz w:val="24"/>
          <w:szCs w:val="24"/>
        </w:rPr>
        <w:t xml:space="preserve">А8.</w:t>
      </w: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 Автором учебного пособия «Практическое красноречие, или Правила риторического искусства», которое использовалось в ряде школ Европы, является: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numPr>
          <w:numId w:val="113"/>
          <w:ilvl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Симеон Полоцкий;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numPr>
          <w:numId w:val="113"/>
          <w:ilvl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Андрей Волан;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numPr>
          <w:numId w:val="113"/>
          <w:ilvl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Сигизмунд Лауксмин;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numPr>
          <w:numId w:val="113"/>
          <w:ilvl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Илья Копиевич;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numPr>
          <w:numId w:val="113"/>
          <w:ilvl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Георгий Конисский.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b/>
          <w:color w:val="0f1115"/>
          <w:sz w:val="24"/>
          <w:szCs w:val="24"/>
        </w:rPr>
        <w:t xml:space="preserve">А9.</w:t>
      </w: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 Первая многоактная белорусская «Комедия», центральным персонажем которой стал белорусский крестьянин, была поставлена в 1787 г. на сцене: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numPr>
          <w:numId w:val="114"/>
          <w:ilvl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Несвижского театра Радзивиллов;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numPr>
          <w:numId w:val="114"/>
          <w:ilvl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Забельского доминиканского коллегиума;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numPr>
          <w:numId w:val="114"/>
          <w:ilvl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Слонимского театра Огинского;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numPr>
          <w:numId w:val="114"/>
          <w:ilvl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Виленской иезуитской академии;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numPr>
          <w:numId w:val="114"/>
          <w:ilvl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Братской школы в Могилеве.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b/>
          <w:color w:val="0f1115"/>
          <w:sz w:val="24"/>
          <w:szCs w:val="24"/>
        </w:rPr>
        <w:t xml:space="preserve">А10.</w:t>
      </w: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 Уникальный вид театра кукол, сочетавший элементы народного театра, фольклора и кукольного представления, представлявший собой двухъярусную трехкупольную церковь, назывался: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numPr>
          <w:numId w:val="115"/>
          <w:ilvl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интермедия;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numPr>
          <w:numId w:val="115"/>
          <w:ilvl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батлейка;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numPr>
          <w:numId w:val="115"/>
          <w:ilvl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кант;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numPr>
          <w:numId w:val="115"/>
          <w:ilvl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дидаскалия;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numPr>
          <w:numId w:val="115"/>
          <w:ilvl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вертеп.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b/>
          <w:color w:val="0f1115"/>
          <w:sz w:val="24"/>
          <w:szCs w:val="24"/>
        </w:rPr>
        <w:t xml:space="preserve">А11.</w:t>
      </w: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 В 1753 г. в Вильно была основана одна из старейших в Восточной Европе астрономических обсерваторий, директором которой стал: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numPr>
          <w:numId w:val="116"/>
          <w:ilvl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Илья Копиевич;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numPr>
          <w:numId w:val="116"/>
          <w:ilvl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Георгий Конисский;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numPr>
          <w:numId w:val="116"/>
          <w:ilvl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Мартин Почобут-Одляницкий;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numPr>
          <w:numId w:val="116"/>
          <w:ilvl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Сигизмунд Лауксмин;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numPr>
          <w:numId w:val="116"/>
          <w:ilvl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Каэтан Марашевский.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b/>
          <w:color w:val="0f1115"/>
          <w:sz w:val="24"/>
          <w:szCs w:val="24"/>
        </w:rPr>
        <w:t xml:space="preserve">А12.</w:t>
      </w: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 Произведение «Рождество Богородицы» (1649 г.), на котором автор изобразил подушки с белорусским национальным узором и этнографически точно передал быт Могилевщины, является образцом: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numPr>
          <w:numId w:val="117"/>
          <w:ilvl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сарматского портрета;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numPr>
          <w:numId w:val="117"/>
          <w:ilvl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иконописи барокко;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numPr>
          <w:numId w:val="117"/>
          <w:ilvl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готической скульптуры;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numPr>
          <w:numId w:val="117"/>
          <w:ilvl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классицистической живописи;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numPr>
          <w:numId w:val="117"/>
          <w:ilvl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рококо.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b/>
          <w:color w:val="0f1115"/>
          <w:sz w:val="24"/>
          <w:szCs w:val="24"/>
        </w:rPr>
        <w:t xml:space="preserve">А13.</w:t>
      </w: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 Уроженец Беларуси, который по поручению Петра I перевел или составил около 30 книг, усовершенствовал кириллический шрифт, разработав основу нового русского гражданского шрифта 1708 г.: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numPr>
          <w:numId w:val="118"/>
          <w:ilvl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Симеон Полоцкий;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numPr>
          <w:numId w:val="118"/>
          <w:ilvl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Спиридон Соболь;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numPr>
          <w:numId w:val="118"/>
          <w:ilvl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Илья Копиевич;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numPr>
          <w:numId w:val="118"/>
          <w:ilvl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Франциск Скорина;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numPr>
          <w:numId w:val="118"/>
          <w:ilvl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Петр Мстиславец.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b/>
          <w:color w:val="0f1115"/>
          <w:sz w:val="24"/>
          <w:szCs w:val="24"/>
        </w:rPr>
        <w:t xml:space="preserve">А14.</w:t>
      </w: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 Для архитектуры классицизма, распространившейся на территории Беларуси в 1770-е гг., характерно: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numPr>
          <w:numId w:val="119"/>
          <w:ilvl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использование криволинейных форм и контрастов масштабов;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numPr>
          <w:numId w:val="119"/>
          <w:ilvl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стремление к симметрии, упорядоченности, гармоничности;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numPr>
          <w:numId w:val="119"/>
          <w:ilvl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создание оборонительных храмов-крепостей;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numPr>
          <w:numId w:val="119"/>
          <w:ilvl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преобладание вертикальных доминант и шпилей;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numPr>
          <w:numId w:val="119"/>
          <w:ilvl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декорирование фасадов полихромными изразцами.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b/>
          <w:color w:val="0f1115"/>
          <w:sz w:val="24"/>
          <w:szCs w:val="24"/>
        </w:rPr>
        <w:t xml:space="preserve">А15.</w:t>
      </w: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 Крупнейшим центром кириллического книгопечатания в ВКЛ до 1654 г. являлся город: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numPr>
          <w:numId w:val="120"/>
          <w:ilvl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Несвиж;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numPr>
          <w:numId w:val="120"/>
          <w:ilvl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Вильно;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numPr>
          <w:numId w:val="120"/>
          <w:ilvl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Полоцк;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numPr>
          <w:numId w:val="120"/>
          <w:ilvl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Могилев;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numPr>
          <w:numId w:val="120"/>
          <w:ilvl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Слуцк.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Arial" w:cs="Times New Roman"/>
          <w:b/>
          <w:color w:val="0f1115"/>
          <w:sz w:val="24"/>
          <w:szCs w:val="24"/>
        </w:rPr>
        <w:t xml:space="preserve">ЧАСТЬ В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b/>
          <w:color w:val="0f1115"/>
          <w:sz w:val="24"/>
          <w:szCs w:val="24"/>
        </w:rPr>
        <w:t xml:space="preserve">Ответы, полученные при выполнении заданий части В, запишите в бланке ответов. Каждую букву, цифру пишите в отдельной клеточке (начиная с первой) по образцам, указанным в бланке. Ответ в виде слова, нескольких слов пишите без пробелов, дефиса или других раз</w:t>
      </w:r>
      <w:r>
        <w:rPr>
          <w:rFonts w:ascii="Times New Roman" w:hAnsi="Times New Roman" w:eastAsia="Arial" w:cs="Times New Roman"/>
          <w:b/>
          <w:color w:val="0f1115"/>
          <w:sz w:val="24"/>
          <w:szCs w:val="24"/>
        </w:rPr>
        <w:t xml:space="preserve">делительных знаков.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b/>
          <w:color w:val="0f1115"/>
          <w:sz w:val="24"/>
          <w:szCs w:val="24"/>
        </w:rPr>
        <w:t xml:space="preserve">В1.</w:t>
      </w: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 Установите соответствие.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107"/>
        <w:gridCol w:w="6040"/>
      </w:tblGrid>
      <w:tr>
        <w:trPr/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150" w:type="dxa"/>
              <w:right w:w="24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4"/>
                <w:szCs w:val="24"/>
              </w:rPr>
              <w:t xml:space="preserve">Учебное заведение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240" w:type="dxa"/>
              <w:top w:w="150" w:type="dxa"/>
              <w:right w:w="24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4"/>
                <w:szCs w:val="24"/>
              </w:rPr>
              <w:t xml:space="preserve">Характеристика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150" w:type="dxa"/>
              <w:right w:w="24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 xml:space="preserve">А) Протестантские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240" w:type="dxa"/>
              <w:top w:w="150" w:type="dxa"/>
              <w:right w:w="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 xml:space="preserve">1) Первое в Европе министерство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150" w:type="dxa"/>
              <w:right w:w="24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 xml:space="preserve">Б) Иезуитские коллегиумы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240" w:type="dxa"/>
              <w:top w:w="150" w:type="dxa"/>
              <w:right w:w="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 xml:space="preserve">2) Бесплатное обучение мальчиков из бедных семей за счет пожертвований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150" w:type="dxa"/>
              <w:right w:w="24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 xml:space="preserve">В) Эдукационная комиссия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240" w:type="dxa"/>
              <w:top w:w="150" w:type="dxa"/>
              <w:right w:w="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 xml:space="preserve">3) Насчитывалось около 300 начальных школ к концу XVI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150" w:type="dxa"/>
              <w:right w:w="24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240" w:type="dxa"/>
              <w:top w:w="150" w:type="dxa"/>
              <w:right w:w="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 xml:space="preserve">4) Обучение исключительно на церковнославянском языке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Ответ запишите в виде сочетания букв и цифр, соблюдая алфавитную последовательность букв левого столбца. Помните, что некоторые данные правого столбца могут не использоваться. Например: А1Б4В5.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Ответ: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_______________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В2.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Жанр многоголосного пения, включавший лирические, сатирические, философские гимны и псалмы, представлявший собой сочетание профессиональной и народной музыки, получил название «__________».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Ответ запишите словом в форме именительного падежа.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Ответ: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_______________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В3.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Укажите дату (год) события, которое произошло последним среди перечисленных: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издание грамматики Мелетия Смотрицкого;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создание Эдукационной комиссии;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замена старобелорусского языка польским в официальном делопроизводстве ВКЛ;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открытие Виленской иезуитской академии.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Ответ запишите в виде четырехзначного числа. Например: 1900.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Ответ: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_______________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В4.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Определите верные утверждения о развитии белорусской культуры в XVII–XVIII вв.: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Сарматизм способствовал сохранению старобелорусского языка как языка делопроизводства;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В архитектуре барокко использовались динамичные композиции и криволинейные формы;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Белорусская объемно-ажурная резьба по дереву использовалась для украшения православных храмов;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Слуцкие пояса, кореличские гобелены, уречско-налибокское стекло были известны за пределами ВКЛ;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В XVIII в. Вильно оставался крупнейшим центром кириллического книгопечатания.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Ответ запишите цифрами (порядок записи цифр не имеет значения). Например: 12.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Ответ: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_______________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В5.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Определите характерные черты эпохи Просвещения на территории Беларуси во второй половине XVIII в.: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распространение идей физиократов;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создание первого в Европе министерства образования;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преобладание религиозной схоластики над светским знанием;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деятельность прогрессивных кругов шляхты и духовенства как проводников передовой идеологии;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массовое открытие протестантских школ.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Ответ запишите цифрами (порядок записи цифр не имеет значения). Например: 123.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Ответ: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_______________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В6.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Художественный стиль, который с конца XVI в. стал главным проводником идей Контрреформации в ВКЛ и противопоставлял волю и ум человека чувственному началу бытия, называется __________.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Ответ запишите словом в форме именительного падежа.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Ответ: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_______________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В7.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Установите последовательность событий, которые произошли в XVI–XVIII вв.: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преобразование Виленского иезуитского коллегиума в академию;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создание Эдукационной комиссии;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замена старобелорусского языка польским в официальном делопроизводстве ВКЛ;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издание «Апокрисиса» Христофора Филалета;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основание астрономической обсерватории в Вильно.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Ответ запишите цифрами. Например: 12345.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Ответ: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_______________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В8.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Определите особенности развития изобразительного искусства и архитектуры на территории Беларуси во второй половине XVI – XVIII в.: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появление монументальной мемориальной и алтарной скульптуры;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возникновение уникальной объемно-ажурной белорусской резьбы по дереву;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преобладание романского стиля в культовом зодчестве;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формирование виленской школы резьбы;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распространение дворцово-парковых ансамблей в стиле классицизма.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Ответ запишите цифрами (порядок записи цифр не имеет значения). Например: 123.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Ответ: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_______________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В9.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Установите соответствие.</w:t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872"/>
        <w:gridCol w:w="5275"/>
      </w:tblGrid>
      <w:tr>
        <w:trPr/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150" w:type="dxa"/>
              <w:right w:w="24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Историческая личность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5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240" w:type="dxa"/>
              <w:top w:w="150" w:type="dxa"/>
              <w:right w:w="24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Деятельность / Произведение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150" w:type="dxa"/>
              <w:right w:w="24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 xml:space="preserve">А) Симеон Полоцкий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240" w:type="dxa"/>
              <w:top w:w="150" w:type="dxa"/>
              <w:right w:w="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 xml:space="preserve">1) Усовершенствование кириллического шрифта, разработка основ гражданского алфавита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150" w:type="dxa"/>
              <w:right w:w="24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 xml:space="preserve">Б) Илья Копиевич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240" w:type="dxa"/>
              <w:top w:w="150" w:type="dxa"/>
              <w:right w:w="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 xml:space="preserve">2) Поэт, драматург, педагог, энциклопедист, преподавал в братской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150" w:type="dxa"/>
              <w:right w:w="24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 xml:space="preserve">В) Мартин Почобут-Одляницкий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240" w:type="dxa"/>
              <w:top w:w="150" w:type="dxa"/>
              <w:right w:w="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 xml:space="preserve">3) Архиепископ Могилевский, борец с унией, канонизирован православной церковью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150" w:type="dxa"/>
              <w:right w:w="24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 xml:space="preserve">Г) Георгий Конисский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240" w:type="dxa"/>
              <w:top w:w="150" w:type="dxa"/>
              <w:right w:w="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 xml:space="preserve">4) Астроном, директор Виленской обсерватории, ректор Виленской академии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0" w:type="dxa"/>
              <w:top w:w="150" w:type="dxa"/>
              <w:right w:w="24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240" w:type="dxa"/>
              <w:top w:w="150" w:type="dxa"/>
              <w:right w:w="0" w:type="dxa"/>
              <w:bottom w:w="150" w:type="dxa"/>
            </w:tcMar>
            <w:textDirection w:val="lrTb"/>
            <w:vAlign w:val="center"/>
          </w:tcPr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 xml:space="preserve">5) Автор первой многоактной белорусской «Комедии»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b/>
          <w:color w:val="0f1115"/>
          <w:sz w:val="24"/>
          <w:szCs w:val="24"/>
        </w:rPr>
        <w:t xml:space="preserve">Ответ запишите в виде сочетания букв и цифр, соблюдая алфавитную последовательность букв левого столбца. Помните, что некоторые данные правого столбца могут не использоваться. Например: А1Б4В3Г5.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b/>
          <w:color w:val="0f1115"/>
          <w:sz w:val="24"/>
          <w:szCs w:val="24"/>
        </w:rPr>
        <w:t xml:space="preserve">Ответ:</w:t>
      </w: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 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ind w:left="72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b/>
          <w:color w:val="0f1115"/>
          <w:sz w:val="24"/>
          <w:szCs w:val="24"/>
        </w:rPr>
        <w:t xml:space="preserve">В10.</w:t>
      </w: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 Определите новые жанры литературы, получившие развитие в ВКЛ во второй половине XVI – XVIII вв.: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numPr>
          <w:numId w:val="121"/>
          <w:ilvl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летописи;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numPr>
          <w:numId w:val="121"/>
          <w:ilvl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хронографы;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numPr>
          <w:numId w:val="121"/>
          <w:ilvl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синопсисы;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numPr>
          <w:numId w:val="121"/>
          <w:ilvl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диариуши (дневники);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numPr>
          <w:numId w:val="121"/>
          <w:ilvl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f1115"/>
          <w:sz w:val="24"/>
          <w:szCs w:val="24"/>
        </w:rPr>
        <w:t xml:space="preserve">жития святых.</w:t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5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6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7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8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9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0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1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3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4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5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6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7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8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9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0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themeTint="80" w:sz="4" w:space="0"/>
        </w:tcBorders>
        <w:shd w:color="ffffff"/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none"/>
          <w:left w:val="none"/>
          <w:bottom w:val="single" w:color="000000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tcBorders>
          <w:top w:val="none"/>
          <w:left w:val="single" w:color="000000" w:themeColor="accen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FE" w:sz="4" w:space="0"/>
        </w:tcBorders>
        <w:shd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/>
          <w:left w:val="none"/>
          <w:bottom w:val="single" w:color="000000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/>
          <w:left w:val="single" w:color="000000" w:themeColor="accent3" w:themeTint="FE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0" w:sz="4" w:space="0"/>
        </w:tcBorders>
        <w:shd w:color="ffffff"/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tcBorders>
          <w:top w:val="none"/>
          <w:left w:val="none"/>
          <w:bottom w:val="single" w:color="000000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tcBorders>
          <w:top w:val="none"/>
          <w:left w:val="single" w:color="000000" w:themeColor="accent5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tcBorders>
          <w:top w:val="single" w:color="000000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0" w:sz="4" w:space="0"/>
        </w:tcBorders>
        <w:shd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/>
          <w:left w:val="none"/>
          <w:bottom w:val="single" w:color="000000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/>
          <w:left w:val="single" w:color="000000" w:themeColor="accent6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98" w:sz="4" w:space="0"/>
        </w:tcBorders>
        <w:shd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/>
          <w:left w:val="none"/>
          <w:bottom w:val="single" w:color="000000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/>
          <w:left w:val="single" w:color="000000" w:themeColor="accent3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A" w:sz="4" w:space="0"/>
        </w:tcBorders>
        <w:shd w:color="ffffff"/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/>
          <w:left w:val="none"/>
          <w:bottom w:val="single" w:color="000000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/>
          <w:left w:val="single" w:color="000000" w:themeColor="accent5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8" w:sz="4" w:space="0"/>
        </w:tcBorders>
        <w:shd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/>
          <w:left w:val="none"/>
          <w:bottom w:val="single" w:color="000000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/>
          <w:left w:val="single" w:color="000000" w:themeColor="accent6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spacing w:after="57"/>
      <w:ind w:left="0" w:right="0" w:firstLine="0"/>
    </w:pPr>
  </w:style>
  <w:style w:type="paragraph" w:styleId="181">
    <w:name w:val="toc 2"/>
    <w:basedOn w:val="598"/>
    <w:next w:val="598"/>
    <w:uiPriority w:val="39"/>
    <w:unhideWhenUsed/>
    <w:pPr>
      <w:spacing w:after="57"/>
      <w:ind w:left="283" w:right="0" w:firstLine="0"/>
    </w:pPr>
  </w:style>
  <w:style w:type="paragraph" w:styleId="182">
    <w:name w:val="toc 3"/>
    <w:basedOn w:val="598"/>
    <w:next w:val="598"/>
    <w:uiPriority w:val="39"/>
    <w:unhideWhenUsed/>
    <w:pPr>
      <w:spacing w:after="57"/>
      <w:ind w:left="567" w:right="0" w:firstLine="0"/>
    </w:pPr>
  </w:style>
  <w:style w:type="paragraph" w:styleId="183">
    <w:name w:val="toc 4"/>
    <w:basedOn w:val="598"/>
    <w:next w:val="598"/>
    <w:uiPriority w:val="39"/>
    <w:unhideWhenUsed/>
    <w:pPr>
      <w:spacing w:after="57"/>
      <w:ind w:left="850" w:right="0" w:firstLine="0"/>
    </w:pPr>
  </w:style>
  <w:style w:type="paragraph" w:styleId="184">
    <w:name w:val="toc 5"/>
    <w:basedOn w:val="598"/>
    <w:next w:val="598"/>
    <w:uiPriority w:val="39"/>
    <w:unhideWhenUsed/>
    <w:pPr>
      <w:spacing w:after="57"/>
      <w:ind w:left="1134" w:right="0" w:firstLine="0"/>
    </w:pPr>
  </w:style>
  <w:style w:type="paragraph" w:styleId="185">
    <w:name w:val="toc 6"/>
    <w:basedOn w:val="598"/>
    <w:next w:val="598"/>
    <w:uiPriority w:val="39"/>
    <w:unhideWhenUsed/>
    <w:pPr>
      <w:spacing w:after="57"/>
      <w:ind w:left="1417" w:right="0" w:firstLine="0"/>
    </w:pPr>
  </w:style>
  <w:style w:type="paragraph" w:styleId="186">
    <w:name w:val="toc 7"/>
    <w:basedOn w:val="598"/>
    <w:next w:val="598"/>
    <w:uiPriority w:val="39"/>
    <w:unhideWhenUsed/>
    <w:pPr>
      <w:spacing w:after="57"/>
      <w:ind w:left="1701" w:right="0" w:firstLine="0"/>
    </w:pPr>
  </w:style>
  <w:style w:type="paragraph" w:styleId="187">
    <w:name w:val="toc 8"/>
    <w:basedOn w:val="598"/>
    <w:next w:val="598"/>
    <w:uiPriority w:val="39"/>
    <w:unhideWhenUsed/>
    <w:pPr>
      <w:spacing w:after="57"/>
      <w:ind w:left="1984" w:right="0" w:firstLine="0"/>
    </w:pPr>
  </w:style>
  <w:style w:type="paragraph" w:styleId="188">
    <w:name w:val="toc 9"/>
    <w:basedOn w:val="598"/>
    <w:next w:val="598"/>
    <w:uiPriority w:val="39"/>
    <w:unhideWhenUsed/>
    <w:pPr>
      <w:spacing w:after="57"/>
      <w:ind w:left="2268" w:right="0" w:firstLine="0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ind w:left="720"/>
      <w:contextualSpacing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2026-02-17T14:45:21Z</dcterms:modified>
</cp:coreProperties>
</file>