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inter" w:hAnsi="inter" w:eastAsia="inter" w:cs="inter"/>
          <w:color w:val="000000"/>
        </w:rPr>
        <w:br/>
      </w:r>
      <w:r>
        <w:rPr>
          <w:rFonts w:ascii="Times New Roman" w:hAnsi="Times New Roman" w:eastAsia="inter" w:cs="Times New Roman"/>
          <w:b/>
          <w:color w:val="000000"/>
          <w:sz w:val="28"/>
          <w:szCs w:val="28"/>
        </w:rPr>
        <w:t xml:space="preserve">Духовное развитие цивилизаций в Позднем средневековье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1. Роль церкви в политической, экономической и культурной жизни европейских государств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1.Духовная жизнь общества связана с созданием духовных ценностей, нравственностью и мировоззрением.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2.В Позднем средневековье главенствующую роль в общественной жизни играла религия.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3.Католическая церковь в Западной Европе была самой могущественной организацией; обеспечивала моральное обоснование власти правителей.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4.Папа Римский имел значительный авторитет и мог назначать или отстранять правителей – ключевой политический игрок.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5.С XIV века влияние церкви снижалось из-за роста национальных государств и укрепления королевской власти.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В 14-15 веке авторитет церкви снижается в результате событий: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-Авиньонское пленение Пап 1309-1377 (период вынужденного нахождения Римских Пап при дворе французского короля)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-Великий раскол (1378–1417) показал кризис церкви: несколько претендентов на папский престол. Папы и антипапы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-Контроль над духовенством переходил к светским монархам (например, Инквизиция в Испании под контролем королей).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-Как протест против обогащения церкви и монополии на духовную жизнь возникло движение Реформации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владела значительными земельными угодьями – около трети обрабатываемой земли в Европе и получала значительные доходы. Источники-плата за обряды, продажа церковных должностей (симония), продажа индульгенций, сбор пожертвований, обогащалась за счет паломников и пр.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Собирала десятину, продавала индульгенции, финансировала строительство храмов и культурных проектов.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играла важную роль в судопроизводстве, использовала Инквизицию для борьбы с ересями. Инквизиция –святой суд. Могла наложить интердикт (отлучение от церкви целого государства)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2. Религиозно-просветительская деятельность и образование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инвестировала в образование: финансировала школы, университеты, библиотеки.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Университеты постепенно освобождались от папского влияния, расширялся круг преподавания – становились доступны национальные языки.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Важные науки Средневековья: математика, медицина, юриспруденция. Развивалась алхимия и методы проведения научных опытов.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Технические усовершенствования: компас, астролябия, корабли каравеллы способствовали развитию мореплавания.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Изобретение книгопечатания (Гутенберг) в середине XV века позволило распространить образование и информацию.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Водяные двигатели и домны усовершенствовали металлургическое и горнорудное производство.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способствовала этнической консолидации народов и формированию культурных ценностей, неся и идеологическую ответственность.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3. Церковь в Восточной Европе и формирование Русской православной церкви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Восточная Европа – преимущественно 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yellow"/>
        </w:rPr>
        <w:t xml:space="preserve">православное вероисповедание.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-Русская православная церковь формировала духовные нормы, стиль жизни и культурные традиции трех братских народов (белорусы, русские, украинцы).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-До середины XV века Русская православная церковь не была самостоятельной – подчинялась Константинопольскому патриархату до 1453.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-Митрополиты назначались в Константинополе; с 1325 г. резиденция в Москве.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Усиление Московского княжества требовало большей идеологической поддержки.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Флорентийская уния (1439 г.)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– попытка объединить православие и католицизм – не была принята в Русском государстве.По этой унии предполагалось перейти в подчинение Папы Римского, но сохранить православные обряды. Митрополит Русской церкви Исидор подписал унию, но его низложил Московский князь Василий </w:t>
      </w:r>
      <w:r>
        <w:rPr>
          <w:rFonts w:ascii="Times New Roman" w:hAnsi="Times New Roman" w:eastAsia="inter" w:cs="Times New Roman"/>
          <w:color w:val="000000"/>
          <w:sz w:val="26"/>
          <w:szCs w:val="26"/>
          <w:lang w:val="en-US"/>
        </w:rPr>
        <w:t xml:space="preserve">II</w:t>
      </w:r>
      <w:r>
        <w:rPr>
          <w:rFonts w:ascii="Times New Roman" w:hAnsi="Times New Roman" w:eastAsia="inter" w:cs="Times New Roman"/>
          <w:color w:val="000000"/>
          <w:sz w:val="26"/>
          <w:szCs w:val="26"/>
          <w:lang w:val="ru-RU"/>
        </w:rPr>
        <w:t xml:space="preserve"> и уния не утвердилась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В 1448 г. Московская церковь получила фактическую автокефалию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(независимость от Константинополя), избрав собственного митрополита Иону.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стала важным политическим центром, поддерживала легитимность власти князей и царей.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Активно развивалась церковная архитектура, искусство, литература.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Православие укрепляло историческую и этническую идентичность народа.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4. Ослабление и критика церковного влияния в Позднем средневековье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Ослабление власти церкви в Европе начиная с XIV века – переход политической власти к королям и национальным государствам.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Торговля индульгенциями вызывала критику и обвинения в коррупции.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Кризис церкви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отражался в Великим расколе и снижении влиятельности папы.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Несмотря на критику, церковь оставалась главным идеологическим центром, сохраняя влияние на общество, культуру и мораль.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/>
    </w:p>
    <w:p>
      <w:pPr>
        <w:pStyle w:val="14"/>
        <w:ind w:left="0" w:right="0" w:firstLine="0"/>
        <w:spacing w:before="299" w:after="299"/>
        <w:rPr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single"/>
        </w:rPr>
        <w:t xml:space="preserve">Духовное развитие цивилизаций в Позднем средневековье по профилю</w:t>
      </w:r>
      <w:r>
        <w:rPr>
          <w:sz w:val="26"/>
          <w:szCs w:val="26"/>
          <w:u w:val="single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1. Ереси в позднем средневековье</w:t>
      </w:r>
      <w:r>
        <w:rPr>
          <w:sz w:val="26"/>
          <w:szCs w:val="26"/>
        </w:rPr>
      </w:r>
    </w:p>
    <w:p>
      <w:pPr>
        <w:pStyle w:val="30"/>
        <w:numPr>
          <w:ilvl w:val="0"/>
          <w:numId w:val="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Появились многочисленные религиозные движения, критикующие католическую церковь (XI–XV вв.).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Еретические движения выступали за возвращение к простоте и истинной вере, критикуя церковную роскошь и власть.</w:t>
      </w:r>
      <w:r>
        <w:rPr>
          <w:sz w:val="26"/>
          <w:szCs w:val="26"/>
        </w:rPr>
      </w:r>
    </w:p>
    <w:p>
      <w:pPr>
        <w:pStyle w:val="30"/>
        <w:numPr>
          <w:ilvl w:val="0"/>
          <w:numId w:val="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Церковь считала ереси угрозой и жестко боролась с ними через организацию инквизиции, крестовые походы, суды, казни.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Идеи еретиков не исчезли, подготовили почву для протестантской Реформации в XVI веке.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Реформация включала критику церковной коррупции, роль Библии и стремление к прямому общению с Богом.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2. Упадок папства</w:t>
      </w:r>
      <w:r>
        <w:rPr>
          <w:sz w:val="26"/>
          <w:szCs w:val="26"/>
        </w:rPr>
      </w:r>
    </w:p>
    <w:p>
      <w:pPr>
        <w:pStyle w:val="30"/>
        <w:numPr>
          <w:ilvl w:val="0"/>
          <w:numId w:val="1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раннее средневековье папы имели большое политическое влияние над светскими правителями.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 XIII века из-за внутренней борьбы с монархами и социальной нестабильности власть пап постепенно ослабела.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Клюнийские реформы пытались укрепить церковную власть, запретить продажу духовных должностей и целибат.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Политические конфликты: пример борьбы папы Григория VII с императором Генрихом IV (Каносса).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Ослабление папства усилилось при «Авиньонском пленении» (1309–1377 гг.), когда папы были под контролем французских королей.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Великая западная схизма (1378–1417 гг.) — период одновременного существования нескольких пап, что подорвало авторитет церкви.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1417 году Констанцский собор восстановил единое папство, но папство уже не контролировало королей и феодалов.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Растущая критика церкви, коррумпированности и торговли индульгенциями привела к формированию реформаторских движений.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3. Гуситское движение в Чехии</w:t>
      </w:r>
      <w:r>
        <w:rPr>
          <w:sz w:val="26"/>
          <w:szCs w:val="26"/>
        </w:rPr>
      </w:r>
    </w:p>
    <w:p>
      <w:pPr>
        <w:pStyle w:val="30"/>
        <w:numPr>
          <w:ilvl w:val="0"/>
          <w:numId w:val="2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Возникло в начале XV века под влиянием проповедей Яна Гуса, выступавшего за церковные реформы и простоту веры.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Ян Гус критиковал коррупцию, торговлю индульгенциями, отказался признать власть папства.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1415 году Гус был сожжен как еретик, что вызвало восстания и гуситские войны (начало в 1420 году).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Гуситов поддерживали горожане и студенты, выступали за реформу церкви, введение причастия для всех, широкое использование чешского языка в богослужении.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Подразделение на умеренных и радикальных (таборитов). Табориты выступали за социальное равенство и уничтожение церковных реликвий.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 руководством Яна Жижки гуситы успешно оборонялись, используя новейшее вооружение и тактику.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1434 г. радикалы были разгромлены; в 1436 г. заключён компромисс, гуситская церковь признана равноценной католической.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Гуситское движение стало важным этапом предреформационного процесса в Европе.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4. Иудаизм в Средневековье</w:t>
      </w:r>
      <w:r>
        <w:rPr>
          <w:sz w:val="26"/>
          <w:szCs w:val="26"/>
        </w:rPr>
      </w:r>
    </w:p>
    <w:p>
      <w:pPr>
        <w:pStyle w:val="30"/>
        <w:numPr>
          <w:ilvl w:val="0"/>
          <w:numId w:val="2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Еврейские общины существовали во многих европейских городах, поддерживали торговые связи между Западом и Востоком.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Евреи были иноверцами, что приводило к их изоляции и особому налогообложению.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Несмотря на ограничения, они сохраняли свою древнюю религию и традиции.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5. Религия и этническая идентичность</w:t>
      </w:r>
      <w:r>
        <w:rPr>
          <w:sz w:val="26"/>
          <w:szCs w:val="26"/>
        </w:rPr>
      </w:r>
    </w:p>
    <w:p>
      <w:pPr>
        <w:pStyle w:val="30"/>
        <w:numPr>
          <w:ilvl w:val="0"/>
          <w:numId w:val="3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Религия служила фактором этнической консолидации и укрепления чувства общности.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Церкви, мечети и синагоги были центрами религиозной, культурной и социальной жизни.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Религиозные обряды и праздники подчёркивали культурную уникальность этнических групп.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эпоху социальных потрясений религия часто служила средством защиты меньшинств.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Монархи использовали религию для укрепления власти и консолидации народа.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6. Научные и культурные достижения Индии, Китая и Японии</w:t>
      </w:r>
      <w:r>
        <w:rPr>
          <w:sz w:val="26"/>
          <w:szCs w:val="26"/>
        </w:rPr>
      </w:r>
    </w:p>
    <w:p>
      <w:pPr>
        <w:pStyle w:val="30"/>
        <w:numPr>
          <w:ilvl w:val="0"/>
          <w:numId w:val="3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Индия: открытие концепции нуля, основы десятичной системы, астрономические таблицы; взаимодействие индуистской и мусульманской культур.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Китай: развитая архитектура (пагоды), императорский дворец Гугун в Пекине; ремёсла и живопись.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Япония: искусство каллиграфии, театр Но с масками и музыкой, чайные церемонии; пейзажная графика в технике туши.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Все три цивилизации внесли большой вклад в мировую культуру и науку, отразив многовековые традиции и культурный обмен.</w:t>
      </w:r>
      <w:r>
        <w:rPr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9"/>
        <w:gridCol w:w="1992"/>
        <w:gridCol w:w="2089"/>
        <w:gridCol w:w="1489"/>
        <w:gridCol w:w="1518"/>
        <w:gridCol w:w="1566"/>
      </w:tblGrid>
      <w:tr>
        <w:trPr/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Характеристика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Лолларды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Гуситы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Катары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Альбигойцы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Вальденсы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Время появления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XIV–XV вв.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Начало XV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XII–XIII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XII–XIII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 век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География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Англия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Богемия (Чехия)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Франция, Северная Италия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Франция (Лангедок)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Европа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Основной лидер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Джон Уиклиф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Ян Гус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Нет единого лидера, движение расколото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Нет единого лидера, часть катарского движения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Пьер Вальдо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Основные идеи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Критика папской власти, торговли индульгенциями; возврат к истинному христианству без посредников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Критика коррупции церкви, проповедь простоты и бедности, отказ от божественного происхождения папства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Дуализм: противостояние добра и зла, отказ от многих католических таинств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Радикальный дуализм (согласно богомилам), вера в двух богов - света и тьмы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Пропаганда бедности, отказ от богатства церкви, простая вера и нравственность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Отношение к авторитету церкви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Отрицание верховенства папы, пропаганда реформ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Отрицание божественности папской власти, поддержка библейских истин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Полное отрицание католической церкви и её учения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Отвергали католическую иерархию, имели собственную духовную структуру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Отрицали папский авторитет, стремились к реформе церкви сверху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Степень радикализма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Умеренный, стремились реформировать церковь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Идеологически более радикальны, вооружённое движение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Очень радикальные, аскетизм, отказ от материальных благ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Очень радикальные, дуалистические взгляды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Более умеренные, акцент на нравственность и бедность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Образ жизни последователей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роскоши, пропаганда бедности и простой жизни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Строгие моральные нормы, аскетизм, активная борьба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Аскетизм, отказ от материальных благ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мирских ценностей, монашеский образ жизни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Аскетизм, бедность, проповедование простоты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Методы борьбы с церковью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Проповеди, критика, литература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Восстания, гуситские войны, вооружённая борьба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официальных обрядов, сепаратизм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Распространение веры, создание «церквей», активно подавлены инквизицией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Проповеди бедности, критика церковной иерархии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Влияние на последующую историю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Подготовили почву для протестантской Реформации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Значительное влияние на Европу, предвестники Реформации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Ограниченное влияние, но важный этап религиозных движений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Были уничтожены инквизицией, часть катаризма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Влияние на развитие протестантизма через движение бедных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Церковные последствия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Преследования инквизицией, критика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Гуситские войны, признание части требований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Жестокие преследования, подавление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Альбигойские крестовые походы, инквизиция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Преследования, но движение продолжало существовать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 w:val="0"/>
        <w:ind w:left="709" w:right="0" w:firstLine="0"/>
        <w:jc w:val="both"/>
        <w:spacing w:before="24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2240" w:h="15840" w:orient="portrait"/>
      <w:pgMar w:top="720" w:right="720" w:bottom="720" w:left="720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inter">
    <w:panose1 w:val="00000400000000000000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Arial">
    <w:panose1 w:val="020B0604020202020204"/>
  </w:font>
  <w:font w:name="Georgia">
    <w:panose1 w:val="02040502050405020303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ru-RU" w:eastAsia="en-US" w:bidi="ar-SA"/>
      </w:rPr>
    </w:rPrDefault>
    <w:pPrDefault>
      <w:pPr>
        <w:spacing w:before="0" w:beforeAutospacing="0" w:after="120" w:afterAutospacing="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9"/>
    <w:next w:val="6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9"/>
    <w:next w:val="60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9"/>
    <w:next w:val="6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9"/>
    <w:next w:val="6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9"/>
    <w:next w:val="6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9"/>
    <w:next w:val="6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9"/>
    <w:next w:val="6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9"/>
    <w:next w:val="6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9"/>
    <w:next w:val="6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9"/>
    <w:next w:val="6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9"/>
    <w:next w:val="6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9"/>
    <w:next w:val="6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9"/>
    <w:next w:val="6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next w:val="609"/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styleId="610" w:customStyle="1">
    <w:name w:val="Verbatim Char"/>
    <w:rPr>
      <w:rFonts w:ascii="Consolas" w:hAnsi="Consolas"/>
      <w:sz w:val="22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revision>2</cp:revision>
  <dcterms:created xsi:type="dcterms:W3CDTF">2025-10-04T13:51:04Z</dcterms:created>
  <dcterms:modified xsi:type="dcterms:W3CDTF">2025-10-04T17:54:11Z</dcterms:modified>
</cp:coreProperties>
</file>