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Пример устного ответа по теме: Аграрная реформа "Устава на волоки". Развитие белорусских городов. Магдебургское право. Билет 7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Население белорусских земель было разделено на сословия. Сословие -это группа людей с определенными правами и обязанностями, передающимися по наследству.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Станы-сословия в ВКЛ</w:t>
      </w:r>
      <w:r>
        <w:rPr>
          <w:rFonts w:ascii="Times New Roman" w:hAnsi="Times New Roman" w:cs="Times New Roman" w:eastAsia="Times New Roman"/>
          <w:b/>
          <w:sz w:val="28"/>
          <w:lang w:val="ru-RU"/>
        </w:rPr>
      </w: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0"/>
        <w:gridCol w:w="2670"/>
      </w:tblGrid>
      <w:tr>
        <w:trPr/>
        <w:tc>
          <w:tcPr>
            <w:tcW w:w="2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шляхта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духовенство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мещане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крестьяне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</w:tr>
      <w:tr>
        <w:trPr/>
        <w:tc>
          <w:tcPr>
            <w:tcW w:w="267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привилегированные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право владеть землёй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право суда над своими крестьянами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освобождены от налогов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участвуют в управлении государством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привилегированные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служители церкви и монахи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право владеть землёй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право суда над своими крестьянами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освобождены от налогов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привилегированные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лично свободны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ремесленники и торговцы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платили налоги в казну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</w:p>
        </w:tc>
        <w:tc>
          <w:tcPr>
            <w:tcW w:w="267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не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привилегированные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лично зависимы</w:t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  <w:t xml:space="preserve">похожие/непохожие</w:t>
            </w: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жили на земле феодала</w:t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b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платили за пользование землей: </w:t>
            </w: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  <w:t xml:space="preserve">барщина,  дякло, чинш</w:t>
            </w:r>
            <w:r>
              <w:rPr>
                <w:rFonts w:ascii="Times New Roman" w:hAnsi="Times New Roman" w:cs="Times New Roman" w:eastAsia="Times New Roman"/>
                <w:b/>
                <w:sz w:val="24"/>
                <w:lang w:val="ru-RU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  <w:t xml:space="preserve">платили налоги в казну</w:t>
            </w: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  <w:p>
            <w:pPr>
              <w:jc w:val="left"/>
              <w:rPr>
                <w:rFonts w:ascii="Times New Roman" w:hAnsi="Times New Roman" w:cs="Times New Roman" w:eastAsia="Times New Roman"/>
                <w:sz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lang w:val="ru-RU"/>
              </w:rPr>
            </w:r>
            <w:r>
              <w:rPr>
                <w:sz w:val="24"/>
              </w:rPr>
            </w:r>
          </w:p>
        </w:tc>
      </w:tr>
    </w:tbl>
    <w:p>
      <w:pPr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/>
    </w:p>
    <w:p>
      <w:pPr>
        <w:jc w:val="both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  <w:t xml:space="preserve"> </w:t>
      </w:r>
      <w:r>
        <w:rPr>
          <w:rFonts w:ascii="Times New Roman" w:hAnsi="Times New Roman" w:cs="Times New Roman" w:eastAsia="Times New Roman"/>
          <w:b/>
          <w:sz w:val="24"/>
        </w:rPr>
        <w:t xml:space="preserve">Барщина </w:t>
      </w:r>
      <w:r>
        <w:rPr>
          <w:rFonts w:ascii="Times New Roman" w:hAnsi="Times New Roman" w:cs="Times New Roman" w:eastAsia="Times New Roman"/>
          <w:sz w:val="24"/>
        </w:rPr>
        <w:t xml:space="preserve">- отработка определенного количества дней на земле феодала со своим инвентарем и скотиной. Крестьяне, выполнявшие барщину назывались</w:t>
      </w:r>
      <w:r>
        <w:rPr>
          <w:rFonts w:ascii="Times New Roman" w:hAnsi="Times New Roman" w:cs="Times New Roman" w:eastAsia="Times New Roman"/>
          <w:b/>
          <w:i/>
          <w:sz w:val="24"/>
        </w:rPr>
        <w:t xml:space="preserve"> тяглыми</w:t>
      </w:r>
      <w:r>
        <w:rPr>
          <w:rFonts w:ascii="Times New Roman" w:hAnsi="Times New Roman" w:cs="Times New Roman" w:eastAsia="Times New Roman"/>
          <w:sz w:val="24"/>
        </w:rPr>
        <w:t xml:space="preserve">.</w:t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sz w:val="24"/>
        </w:rPr>
        <w:t xml:space="preserve">В</w:t>
      </w:r>
      <w:r>
        <w:rPr>
          <w:rFonts w:ascii="Times New Roman" w:hAnsi="Times New Roman" w:cs="Times New Roman" w:eastAsia="Times New Roman"/>
          <w:b/>
          <w:sz w:val="28"/>
        </w:rPr>
        <w:t xml:space="preserve"> 1557</w:t>
      </w:r>
      <w:r>
        <w:rPr>
          <w:rFonts w:ascii="Times New Roman" w:hAnsi="Times New Roman" w:cs="Times New Roman" w:eastAsia="Times New Roman"/>
          <w:sz w:val="24"/>
        </w:rPr>
        <w:t xml:space="preserve"> году в ВКЛ была проведена реформа по упорядочению крестьянских наделов и повинностей. Она известна под названием </w:t>
      </w:r>
      <w:r>
        <w:rPr>
          <w:rFonts w:ascii="Times New Roman" w:hAnsi="Times New Roman" w:cs="Times New Roman" w:eastAsia="Times New Roman"/>
          <w:b/>
          <w:sz w:val="28"/>
        </w:rPr>
        <w:t xml:space="preserve">"волочная помера</w:t>
      </w:r>
      <w:r>
        <w:rPr>
          <w:rFonts w:ascii="Times New Roman" w:hAnsi="Times New Roman" w:cs="Times New Roman" w:eastAsia="Times New Roman"/>
          <w:sz w:val="24"/>
        </w:rPr>
        <w:t xml:space="preserve">" и была осуществлена во время правления Сигизмунда </w:t>
      </w:r>
      <w:r>
        <w:rPr>
          <w:rFonts w:ascii="Times New Roman" w:hAnsi="Times New Roman" w:cs="Times New Roman" w:eastAsia="Times New Roman"/>
          <w:sz w:val="24"/>
          <w:lang w:val="en-US"/>
        </w:rPr>
        <w:t xml:space="preserve">II</w:t>
      </w:r>
      <w:r>
        <w:rPr>
          <w:rFonts w:ascii="Times New Roman" w:hAnsi="Times New Roman" w:cs="Times New Roman" w:eastAsia="Times New Roman"/>
          <w:sz w:val="24"/>
          <w:lang w:val="be-BY"/>
        </w:rPr>
        <w:t xml:space="preserve">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Августа. Документ по реформе </w:t>
      </w: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"Устава на волоки"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Причины реформы:</w:t>
      </w:r>
      <w:r>
        <w:rPr>
          <w:rFonts w:ascii="Times New Roman" w:hAnsi="Times New Roman" w:cs="Times New Roman" w:eastAsia="Times New Roman"/>
          <w:b/>
          <w:sz w:val="28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1.Необходимость  увеличения доходов казны и казенных имений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2.Рост спроса на зерно в европейских странах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3.Повышение спроса на продовольствие в городах в связи с увеличением населения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4.Необходимость в создании государственных фольварков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4"/>
          <w:lang w:val="ru-RU"/>
        </w:rPr>
      </w:pPr>
      <w:r>
        <w:rPr>
          <w:rFonts w:ascii="Times New Roman" w:hAnsi="Times New Roman" w:cs="Times New Roman" w:eastAsia="Times New Roman"/>
          <w:b/>
          <w:i/>
          <w:sz w:val="28"/>
          <w:lang w:val="ru-RU"/>
        </w:rPr>
        <w:t xml:space="preserve">Фольварк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-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двор и хозяйство землевладельца, продукция которого предназначалась на продажу.</w:t>
      </w:r>
      <w:r/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Чтобы увеличить прибыльность своих имений землевладельцы (князь, магнаты, шляхта) начали создавать на своих землях фольварки. Там были хозяйственные строения, обрабатываемые поля, маслобойни, пивоварни. Все это производило продукцию на продажу, а работы выполняли крестьяне (барщина). Для того, чтобы под фольварки выделить как можно больше земель решено было перемерять крестьянские наделы согласно реформе.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Содержание документа "Устава на волоки"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-Вводилась единая мера земли -волока, равная 21,36 га, всю землю разделили на волоки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-Под фольварки отводились самые плодородные волоки, под крестьянские наделы - остальное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-одна крестьянская семья обычно получала полволоки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- с каждой волоки крестьян взималось определенное количество повинностей (барщина и чинш)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Результат реформы: 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Доходы землевладельцев увеличились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                                    Угнетение крестьян усилилось</w:t>
      </w:r>
      <w:r>
        <w:rPr>
          <w:rFonts w:ascii="Times New Roman" w:hAnsi="Times New Roman" w:cs="Times New Roman" w:eastAsia="Times New Roman"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  <w:lang w:val="ru-RU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                                     Торговля зерном и др. активизировалась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  <w:lang w:val="ru-RU"/>
        </w:rPr>
        <w:t xml:space="preserve">Города и магдебургское право</w:t>
      </w:r>
      <w:r>
        <w:rPr>
          <w:rFonts w:ascii="Times New Roman" w:hAnsi="Times New Roman" w:cs="Times New Roman" w:eastAsia="Times New Roman"/>
          <w:b/>
          <w:sz w:val="28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  <w:lang w:val="ru-RU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В 16-17 веке присходит рост городов. Крупные, более 10 тысяч жителей; Минск, Могилёв, Полоцк, Витебск, Пинск, Брест    Жители города -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мещане. 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  <w:lang w:val="ru-RU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Маленькие населенные пункты, где жители также занимались ремеслом и торговлей - это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 местечки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.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  <w:lang w:val="ru-RU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Города были частные и государственные. Часть городов получили право на самоуправление. 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Магдебургское право - право города на самоуправление.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Города с магдебургским правом составляли 40%.. Жители таких городов освобождались от феодальной зависимости. Избирали правление города -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магистрат,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а также суд. Магистрат состоял из </w:t>
      </w:r>
      <w:r>
        <w:rPr>
          <w:rFonts w:ascii="Times New Roman" w:hAnsi="Times New Roman" w:cs="Times New Roman" w:eastAsia="Times New Roman"/>
          <w:b/>
          <w:i/>
          <w:sz w:val="24"/>
          <w:lang w:val="ru-RU"/>
        </w:rPr>
        <w:t xml:space="preserve">Рады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(совет города из порядочных граждан) и </w:t>
      </w:r>
      <w:r>
        <w:rPr>
          <w:rFonts w:ascii="Times New Roman" w:hAnsi="Times New Roman" w:cs="Times New Roman" w:eastAsia="Times New Roman"/>
          <w:b/>
          <w:i/>
          <w:sz w:val="24"/>
          <w:lang w:val="ru-RU"/>
        </w:rPr>
        <w:t xml:space="preserve">Лавы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(суд). Раду возглавлял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бурмистр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, а лаву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войт.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 Для магистрата строили специальное здание -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ратушу.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b/>
          <w:sz w:val="24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Магдебургское право: Минск 1499, Брест 1390, Вильно 1387. Часть города, оставшаяся в собственности феодала -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юридика</w:t>
      </w:r>
      <w:r>
        <w:rPr>
          <w:rFonts w:ascii="Times New Roman" w:hAnsi="Times New Roman" w:cs="Times New Roman" w:eastAsia="Times New Roman"/>
          <w:b/>
          <w:sz w:val="24"/>
          <w:lang w:val="ru-RU"/>
        </w:rPr>
      </w:r>
    </w:p>
    <w:p>
      <w:pPr>
        <w:jc w:val="both"/>
        <w:spacing w:after="0" w:afterAutospacing="0"/>
        <w:rPr>
          <w:rFonts w:ascii="Times New Roman" w:hAnsi="Times New Roman" w:cs="Times New Roman" w:eastAsia="Times New Roman"/>
          <w:sz w:val="24"/>
          <w:lang w:val="ru-RU"/>
        </w:rPr>
      </w:pPr>
      <w:r>
        <w:rPr>
          <w:rFonts w:ascii="Times New Roman" w:hAnsi="Times New Roman" w:cs="Times New Roman" w:eastAsia="Times New Roman"/>
          <w:sz w:val="24"/>
          <w:lang w:val="ru-RU"/>
        </w:rPr>
        <w:t xml:space="preserve">    Горожане занимались ремеслом (кузнечное, кожевенное, бондарное, ювелирное, кафельное, оружейное) и торговлей (на ярмарках и рынках). Все ремесленники одной специальности образовывали свои братства (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цехи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). У купцов такие объединения назывались </w:t>
      </w:r>
      <w:r>
        <w:rPr>
          <w:rFonts w:ascii="Times New Roman" w:hAnsi="Times New Roman" w:cs="Times New Roman" w:eastAsia="Times New Roman"/>
          <w:b/>
          <w:sz w:val="24"/>
          <w:lang w:val="ru-RU"/>
        </w:rPr>
        <w:t xml:space="preserve">гильдии</w:t>
      </w:r>
      <w:r>
        <w:rPr>
          <w:rFonts w:ascii="Times New Roman" w:hAnsi="Times New Roman" w:cs="Times New Roman" w:eastAsia="Times New Roman"/>
          <w:sz w:val="24"/>
          <w:lang w:val="ru-RU"/>
        </w:rPr>
        <w:t xml:space="preserve">. Стать мастером и вступить в цех было непросто. Необходимо несколько лет обучаться в качестве подмастерья, потом изготовить образец изделия "штуку". Такой "экзамен" принимали опытные мастера. Тех, кого не приняли в цех называли "портачами" и не допускали на рынки города.</w:t>
      </w:r>
      <w:r>
        <w:rPr>
          <w:rFonts w:ascii="Times New Roman" w:hAnsi="Times New Roman" w:cs="Times New Roman" w:eastAsia="Times New Roman"/>
          <w:sz w:val="24"/>
          <w:lang w:val="ru-RU"/>
        </w:rPr>
      </w:r>
    </w:p>
    <w:sectPr>
      <w:footnotePr/>
      <w:type w:val="nextPage"/>
      <w:pgSz w:w="11906" w:h="16838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