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02474" w14:textId="77777777" w:rsidR="00583AD8" w:rsidRPr="00583AD8" w:rsidRDefault="00583AD8" w:rsidP="00583AD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583AD8">
        <w:rPr>
          <w:rFonts w:ascii="Times New Roman" w:eastAsia="Times New Roman" w:hAnsi="Times New Roman" w:cs="Times New Roman"/>
          <w:b/>
          <w:bCs/>
          <w:kern w:val="36"/>
          <w:sz w:val="48"/>
          <w:szCs w:val="48"/>
          <w:lang w:eastAsia="fr-FR"/>
        </w:rPr>
        <w:t>La mixité filles-garçons à l’école, une révolution inachevée</w:t>
      </w:r>
    </w:p>
    <w:p w14:paraId="60B36E8C" w14:textId="77777777" w:rsidR="00583AD8" w:rsidRPr="00583AD8" w:rsidRDefault="00583AD8" w:rsidP="00583AD8">
      <w:pPr>
        <w:spacing w:before="100" w:beforeAutospacing="1" w:after="100" w:afterAutospacing="1" w:line="240" w:lineRule="auto"/>
        <w:rPr>
          <w:rFonts w:ascii="Times New Roman" w:eastAsia="Times New Roman" w:hAnsi="Times New Roman" w:cs="Times New Roman"/>
          <w:sz w:val="24"/>
          <w:szCs w:val="24"/>
          <w:lang w:eastAsia="fr-FR"/>
        </w:rPr>
      </w:pPr>
      <w:r w:rsidRPr="00583AD8">
        <w:rPr>
          <w:rFonts w:ascii="Times New Roman" w:eastAsia="Times New Roman" w:hAnsi="Times New Roman" w:cs="Times New Roman"/>
          <w:sz w:val="24"/>
          <w:szCs w:val="24"/>
          <w:lang w:eastAsia="fr-FR"/>
        </w:rPr>
        <w:t xml:space="preserve">L’idée de mêler filles et garçons à l’école de la République s’est généralisée pour des raisons plus pragmatiques que politiques. </w:t>
      </w:r>
    </w:p>
    <w:p w14:paraId="5EA4ED17" w14:textId="77777777" w:rsidR="00583AD8" w:rsidRPr="00583AD8" w:rsidRDefault="00583AD8" w:rsidP="00583AD8">
      <w:pPr>
        <w:spacing w:before="100" w:beforeAutospacing="1" w:after="100" w:afterAutospacing="1" w:line="240" w:lineRule="auto"/>
        <w:rPr>
          <w:rFonts w:ascii="Times New Roman" w:eastAsia="Times New Roman" w:hAnsi="Times New Roman" w:cs="Times New Roman"/>
          <w:sz w:val="24"/>
          <w:szCs w:val="24"/>
          <w:lang w:eastAsia="fr-FR"/>
        </w:rPr>
      </w:pPr>
      <w:r w:rsidRPr="00583AD8">
        <w:rPr>
          <w:rFonts w:ascii="Times New Roman" w:eastAsia="Times New Roman" w:hAnsi="Times New Roman" w:cs="Times New Roman"/>
          <w:sz w:val="24"/>
          <w:szCs w:val="24"/>
          <w:lang w:eastAsia="fr-FR"/>
        </w:rPr>
        <w:t xml:space="preserve">Par </w:t>
      </w:r>
      <w:hyperlink r:id="rId5" w:history="1">
        <w:r w:rsidRPr="00583AD8">
          <w:rPr>
            <w:rFonts w:ascii="Times New Roman" w:eastAsia="Times New Roman" w:hAnsi="Times New Roman" w:cs="Times New Roman"/>
            <w:color w:val="0000FF"/>
            <w:sz w:val="24"/>
            <w:szCs w:val="24"/>
            <w:u w:val="single"/>
            <w:lang w:eastAsia="fr-FR"/>
          </w:rPr>
          <w:t>Claire Legros</w:t>
        </w:r>
      </w:hyperlink>
      <w:r w:rsidRPr="00583AD8">
        <w:rPr>
          <w:rFonts w:ascii="Times New Roman" w:eastAsia="Times New Roman" w:hAnsi="Times New Roman" w:cs="Times New Roman"/>
          <w:sz w:val="24"/>
          <w:szCs w:val="24"/>
          <w:lang w:eastAsia="fr-FR"/>
        </w:rPr>
        <w:t xml:space="preserve"> </w:t>
      </w:r>
    </w:p>
    <w:p w14:paraId="78286B56" w14:textId="092D8E39" w:rsidR="00583AD8" w:rsidRPr="00583AD8" w:rsidRDefault="00583AD8" w:rsidP="00583AD8">
      <w:pPr>
        <w:spacing w:after="0" w:line="240" w:lineRule="auto"/>
        <w:rPr>
          <w:rFonts w:ascii="Times New Roman" w:eastAsia="Times New Roman" w:hAnsi="Times New Roman" w:cs="Times New Roman"/>
          <w:sz w:val="24"/>
          <w:szCs w:val="24"/>
          <w:lang w:eastAsia="fr-FR"/>
        </w:rPr>
      </w:pPr>
      <w:r w:rsidRPr="00583AD8">
        <w:rPr>
          <w:rFonts w:ascii="Times New Roman" w:eastAsia="Times New Roman" w:hAnsi="Times New Roman" w:cs="Times New Roman"/>
          <w:sz w:val="24"/>
          <w:szCs w:val="24"/>
          <w:lang w:eastAsia="fr-FR"/>
        </w:rPr>
        <w:t xml:space="preserve">Publié </w:t>
      </w:r>
      <w:r>
        <w:rPr>
          <w:rFonts w:ascii="Times New Roman" w:eastAsia="Times New Roman" w:hAnsi="Times New Roman" w:cs="Times New Roman"/>
          <w:sz w:val="24"/>
          <w:szCs w:val="24"/>
          <w:lang w:eastAsia="fr-FR"/>
        </w:rPr>
        <w:t>le 15/09/21</w:t>
      </w:r>
      <w:r w:rsidRPr="00583AD8">
        <w:rPr>
          <w:rFonts w:ascii="Times New Roman" w:eastAsia="Times New Roman" w:hAnsi="Times New Roman" w:cs="Times New Roman"/>
          <w:sz w:val="24"/>
          <w:szCs w:val="24"/>
          <w:lang w:eastAsia="fr-FR"/>
        </w:rPr>
        <w:t xml:space="preserve"> à 06h00, mis à jour à 10h49 </w:t>
      </w:r>
    </w:p>
    <w:p w14:paraId="52804C47" w14:textId="2DFF57F1" w:rsidR="00583AD8" w:rsidRPr="00583AD8" w:rsidRDefault="00583AD8" w:rsidP="00583AD8">
      <w:pPr>
        <w:spacing w:after="0" w:line="240" w:lineRule="auto"/>
        <w:rPr>
          <w:rFonts w:ascii="Times New Roman" w:eastAsia="Times New Roman" w:hAnsi="Times New Roman" w:cs="Times New Roman"/>
          <w:sz w:val="24"/>
          <w:szCs w:val="24"/>
          <w:lang w:eastAsia="fr-FR"/>
        </w:rPr>
      </w:pPr>
      <w:r w:rsidRPr="00583AD8">
        <w:rPr>
          <w:rFonts w:ascii="Times New Roman" w:eastAsia="Times New Roman" w:hAnsi="Times New Roman" w:cs="Times New Roman"/>
          <w:noProof/>
          <w:sz w:val="24"/>
          <w:szCs w:val="24"/>
          <w:lang w:eastAsia="fr-FR"/>
        </w:rPr>
        <w:drawing>
          <wp:inline distT="0" distB="0" distL="0" distR="0" wp14:anchorId="7813BAF4" wp14:editId="4C81E372">
            <wp:extent cx="5760720" cy="3840480"/>
            <wp:effectExtent l="0" t="0" r="0" b="7620"/>
            <wp:docPr id="1" name="Image 1" descr="A Strasbourg, le 2 septemb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trasbourg, le 2 septembre 2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r w:rsidRPr="00583AD8">
        <w:rPr>
          <w:rFonts w:ascii="Times New Roman" w:eastAsia="Times New Roman" w:hAnsi="Times New Roman" w:cs="Times New Roman"/>
          <w:sz w:val="24"/>
          <w:szCs w:val="24"/>
          <w:lang w:eastAsia="fr-FR"/>
        </w:rPr>
        <w:t xml:space="preserve">A Strasbourg, le 2 septembre 2021. JEAN-FRANCOIS BADIAS / AP </w:t>
      </w:r>
    </w:p>
    <w:p w14:paraId="1EFB142A" w14:textId="77777777" w:rsidR="00583AD8" w:rsidRPr="00583AD8" w:rsidRDefault="00583AD8" w:rsidP="00583AD8">
      <w:pPr>
        <w:spacing w:before="100" w:beforeAutospacing="1" w:after="100" w:afterAutospacing="1" w:line="240" w:lineRule="auto"/>
        <w:rPr>
          <w:rFonts w:ascii="Times New Roman" w:eastAsia="Times New Roman" w:hAnsi="Times New Roman" w:cs="Times New Roman"/>
          <w:sz w:val="24"/>
          <w:szCs w:val="24"/>
          <w:lang w:eastAsia="fr-FR"/>
        </w:rPr>
      </w:pPr>
      <w:r w:rsidRPr="00583AD8">
        <w:rPr>
          <w:rFonts w:ascii="Times New Roman" w:eastAsia="Times New Roman" w:hAnsi="Times New Roman" w:cs="Times New Roman"/>
          <w:b/>
          <w:bCs/>
          <w:sz w:val="24"/>
          <w:szCs w:val="24"/>
          <w:lang w:eastAsia="fr-FR"/>
        </w:rPr>
        <w:t>Histoire d’une notion.</w:t>
      </w:r>
      <w:r w:rsidRPr="00583AD8">
        <w:rPr>
          <w:rFonts w:ascii="Times New Roman" w:eastAsia="Times New Roman" w:hAnsi="Times New Roman" w:cs="Times New Roman"/>
          <w:sz w:val="24"/>
          <w:szCs w:val="24"/>
          <w:lang w:eastAsia="fr-FR"/>
        </w:rPr>
        <w:t xml:space="preserve"> Mélanger filles et garçons dans les mêmes classes, l’idée est devenue une évidence, un pilier de l’école républicaine pour garantir l’égalité. Cette conquête historique, consacrée dans l’enseignement secondaire par la réforme Haby, en 1975, s’est pourtant imposée sans grand fracas. Une démocratisation silencieuse, explorée depuis une vingtaine d’années par des chercheurs – et surtout des chercheuses – en sciences sociales, dont les travaux décrivent une révolution inachevée.</w:t>
      </w:r>
    </w:p>
    <w:p w14:paraId="214156F7" w14:textId="77777777" w:rsidR="00583AD8" w:rsidRPr="00583AD8" w:rsidRDefault="00583AD8" w:rsidP="00583AD8">
      <w:pPr>
        <w:spacing w:before="100" w:beforeAutospacing="1" w:after="100" w:afterAutospacing="1" w:line="240" w:lineRule="auto"/>
        <w:rPr>
          <w:rFonts w:ascii="Times New Roman" w:eastAsia="Times New Roman" w:hAnsi="Times New Roman" w:cs="Times New Roman"/>
          <w:sz w:val="24"/>
          <w:szCs w:val="24"/>
          <w:lang w:eastAsia="fr-FR"/>
        </w:rPr>
      </w:pPr>
      <w:r w:rsidRPr="00583AD8">
        <w:rPr>
          <w:rFonts w:ascii="Times New Roman" w:eastAsia="Times New Roman" w:hAnsi="Times New Roman" w:cs="Times New Roman"/>
          <w:sz w:val="24"/>
          <w:szCs w:val="24"/>
          <w:lang w:eastAsia="fr-FR"/>
        </w:rPr>
        <w:t xml:space="preserve">Le mot lui-même apparaît tardivement, en 1956, dans la revue </w:t>
      </w:r>
      <w:r w:rsidRPr="00583AD8">
        <w:rPr>
          <w:rFonts w:ascii="Times New Roman" w:eastAsia="Times New Roman" w:hAnsi="Times New Roman" w:cs="Times New Roman"/>
          <w:i/>
          <w:iCs/>
          <w:sz w:val="24"/>
          <w:szCs w:val="24"/>
          <w:lang w:eastAsia="fr-FR"/>
        </w:rPr>
        <w:t>Les Cahiers pédagogiques</w:t>
      </w:r>
      <w:r w:rsidRPr="00583AD8">
        <w:rPr>
          <w:rFonts w:ascii="Times New Roman" w:eastAsia="Times New Roman" w:hAnsi="Times New Roman" w:cs="Times New Roman"/>
          <w:sz w:val="24"/>
          <w:szCs w:val="24"/>
          <w:lang w:eastAsia="fr-FR"/>
        </w:rPr>
        <w:t xml:space="preserve">. Il désigne d’abord exclusivement la mixité de sexe, avant de se généraliser, à partir des années 1990, à d’autres formes de mixité, sociale ou culturelle. L’éducation nationale évoque, de son côté, des </w:t>
      </w:r>
      <w:r w:rsidRPr="00583AD8">
        <w:rPr>
          <w:rFonts w:ascii="Times New Roman" w:eastAsia="Times New Roman" w:hAnsi="Times New Roman" w:cs="Times New Roman"/>
          <w:i/>
          <w:iCs/>
          <w:sz w:val="24"/>
          <w:szCs w:val="24"/>
          <w:lang w:eastAsia="fr-FR"/>
        </w:rPr>
        <w:t>« établissements mixtes »</w:t>
      </w:r>
      <w:r w:rsidRPr="00583AD8">
        <w:rPr>
          <w:rFonts w:ascii="Times New Roman" w:eastAsia="Times New Roman" w:hAnsi="Times New Roman" w:cs="Times New Roman"/>
          <w:sz w:val="24"/>
          <w:szCs w:val="24"/>
          <w:lang w:eastAsia="fr-FR"/>
        </w:rPr>
        <w:t xml:space="preserve"> à partir de 1957, dans une circulaire aux objectifs pour le moins explicites : l</w:t>
      </w:r>
      <w:proofErr w:type="gramStart"/>
      <w:r w:rsidRPr="00583AD8">
        <w:rPr>
          <w:rFonts w:ascii="Times New Roman" w:eastAsia="Times New Roman" w:hAnsi="Times New Roman" w:cs="Times New Roman"/>
          <w:sz w:val="24"/>
          <w:szCs w:val="24"/>
          <w:lang w:eastAsia="fr-FR"/>
        </w:rPr>
        <w:t>’</w:t>
      </w:r>
      <w:r w:rsidRPr="00583AD8">
        <w:rPr>
          <w:rFonts w:ascii="Times New Roman" w:eastAsia="Times New Roman" w:hAnsi="Times New Roman" w:cs="Times New Roman"/>
          <w:i/>
          <w:iCs/>
          <w:sz w:val="24"/>
          <w:szCs w:val="24"/>
          <w:lang w:eastAsia="fr-FR"/>
        </w:rPr>
        <w:t>«</w:t>
      </w:r>
      <w:proofErr w:type="gramEnd"/>
      <w:r w:rsidRPr="00583AD8">
        <w:rPr>
          <w:rFonts w:ascii="Times New Roman" w:eastAsia="Times New Roman" w:hAnsi="Times New Roman" w:cs="Times New Roman"/>
          <w:i/>
          <w:iCs/>
          <w:sz w:val="24"/>
          <w:szCs w:val="24"/>
          <w:lang w:eastAsia="fr-FR"/>
        </w:rPr>
        <w:t xml:space="preserve"> expérience » </w:t>
      </w:r>
      <w:r w:rsidRPr="00583AD8">
        <w:rPr>
          <w:rFonts w:ascii="Times New Roman" w:eastAsia="Times New Roman" w:hAnsi="Times New Roman" w:cs="Times New Roman"/>
          <w:sz w:val="24"/>
          <w:szCs w:val="24"/>
          <w:lang w:eastAsia="fr-FR"/>
        </w:rPr>
        <w:t>n’est pas menée</w:t>
      </w:r>
      <w:r w:rsidRPr="00583AD8">
        <w:rPr>
          <w:rFonts w:ascii="Times New Roman" w:eastAsia="Times New Roman" w:hAnsi="Times New Roman" w:cs="Times New Roman"/>
          <w:i/>
          <w:iCs/>
          <w:sz w:val="24"/>
          <w:szCs w:val="24"/>
          <w:lang w:eastAsia="fr-FR"/>
        </w:rPr>
        <w:t xml:space="preserve"> « au nom de principes, d’ailleurs passionnément discutés, mais pour servir les familles au plus proche de leur domicile »</w:t>
      </w:r>
      <w:r w:rsidRPr="00583AD8">
        <w:rPr>
          <w:rFonts w:ascii="Times New Roman" w:eastAsia="Times New Roman" w:hAnsi="Times New Roman" w:cs="Times New Roman"/>
          <w:sz w:val="24"/>
          <w:szCs w:val="24"/>
          <w:lang w:eastAsia="fr-FR"/>
        </w:rPr>
        <w:t xml:space="preserve">. Le ton est donné. </w:t>
      </w:r>
      <w:r w:rsidRPr="00583AD8">
        <w:rPr>
          <w:rFonts w:ascii="Times New Roman" w:eastAsia="Times New Roman" w:hAnsi="Times New Roman" w:cs="Times New Roman"/>
          <w:i/>
          <w:iCs/>
          <w:sz w:val="24"/>
          <w:szCs w:val="24"/>
          <w:lang w:eastAsia="fr-FR"/>
        </w:rPr>
        <w:t xml:space="preserve">« Si la mixité s’est imposée au fil du temps, c’est avant tout pour des raisons </w:t>
      </w:r>
      <w:r w:rsidRPr="00583AD8">
        <w:rPr>
          <w:rFonts w:ascii="Times New Roman" w:eastAsia="Times New Roman" w:hAnsi="Times New Roman" w:cs="Times New Roman"/>
          <w:i/>
          <w:iCs/>
          <w:sz w:val="24"/>
          <w:szCs w:val="24"/>
          <w:lang w:eastAsia="fr-FR"/>
        </w:rPr>
        <w:lastRenderedPageBreak/>
        <w:t>pratiques et économiques »</w:t>
      </w:r>
      <w:r w:rsidRPr="00583AD8">
        <w:rPr>
          <w:rFonts w:ascii="Times New Roman" w:eastAsia="Times New Roman" w:hAnsi="Times New Roman" w:cs="Times New Roman"/>
          <w:sz w:val="24"/>
          <w:szCs w:val="24"/>
          <w:lang w:eastAsia="fr-FR"/>
        </w:rPr>
        <w:t xml:space="preserve">, résume l’historienne Geneviève </w:t>
      </w:r>
      <w:proofErr w:type="spellStart"/>
      <w:r w:rsidRPr="00583AD8">
        <w:rPr>
          <w:rFonts w:ascii="Times New Roman" w:eastAsia="Times New Roman" w:hAnsi="Times New Roman" w:cs="Times New Roman"/>
          <w:sz w:val="24"/>
          <w:szCs w:val="24"/>
          <w:lang w:eastAsia="fr-FR"/>
        </w:rPr>
        <w:t>Pezeu</w:t>
      </w:r>
      <w:proofErr w:type="spellEnd"/>
      <w:r w:rsidRPr="00583AD8">
        <w:rPr>
          <w:rFonts w:ascii="Times New Roman" w:eastAsia="Times New Roman" w:hAnsi="Times New Roman" w:cs="Times New Roman"/>
          <w:sz w:val="24"/>
          <w:szCs w:val="24"/>
          <w:lang w:eastAsia="fr-FR"/>
        </w:rPr>
        <w:t>, autrice d’une histoire de la mixité (</w:t>
      </w:r>
      <w:r w:rsidRPr="00583AD8">
        <w:rPr>
          <w:rFonts w:ascii="Times New Roman" w:eastAsia="Times New Roman" w:hAnsi="Times New Roman" w:cs="Times New Roman"/>
          <w:i/>
          <w:iCs/>
          <w:sz w:val="24"/>
          <w:szCs w:val="24"/>
          <w:lang w:eastAsia="fr-FR"/>
        </w:rPr>
        <w:t>Des filles chez les garçons</w:t>
      </w:r>
      <w:r w:rsidRPr="00583AD8">
        <w:rPr>
          <w:rFonts w:ascii="Times New Roman" w:eastAsia="Times New Roman" w:hAnsi="Times New Roman" w:cs="Times New Roman"/>
          <w:sz w:val="24"/>
          <w:szCs w:val="24"/>
          <w:lang w:eastAsia="fr-FR"/>
        </w:rPr>
        <w:t>, Vendémiaire, 2020).</w:t>
      </w:r>
    </w:p>
    <w:p w14:paraId="62B2150D" w14:textId="77777777" w:rsidR="00583AD8" w:rsidRPr="00583AD8" w:rsidRDefault="00583AD8" w:rsidP="00583AD8">
      <w:pPr>
        <w:spacing w:before="100" w:beforeAutospacing="1" w:after="100" w:afterAutospacing="1" w:line="240" w:lineRule="auto"/>
        <w:rPr>
          <w:rFonts w:ascii="Times New Roman" w:eastAsia="Times New Roman" w:hAnsi="Times New Roman" w:cs="Times New Roman"/>
          <w:sz w:val="24"/>
          <w:szCs w:val="24"/>
          <w:lang w:eastAsia="fr-FR"/>
        </w:rPr>
      </w:pPr>
      <w:r w:rsidRPr="00583AD8">
        <w:rPr>
          <w:rFonts w:ascii="Times New Roman" w:eastAsia="Times New Roman" w:hAnsi="Times New Roman" w:cs="Times New Roman"/>
          <w:sz w:val="24"/>
          <w:szCs w:val="24"/>
          <w:lang w:eastAsia="fr-FR"/>
        </w:rPr>
        <w:t xml:space="preserve">Dès l’origine, l’instruction commune des garçons et des filles ne fait pas partie de l’idéal révolutionnaire de 1789, malgré les appels de Condorcet à la </w:t>
      </w:r>
      <w:r w:rsidRPr="00583AD8">
        <w:rPr>
          <w:rFonts w:ascii="Times New Roman" w:eastAsia="Times New Roman" w:hAnsi="Times New Roman" w:cs="Times New Roman"/>
          <w:i/>
          <w:iCs/>
          <w:sz w:val="24"/>
          <w:szCs w:val="24"/>
          <w:lang w:eastAsia="fr-FR"/>
        </w:rPr>
        <w:t>« réunion des deux sexes »</w:t>
      </w:r>
      <w:r w:rsidRPr="00583AD8">
        <w:rPr>
          <w:rFonts w:ascii="Times New Roman" w:eastAsia="Times New Roman" w:hAnsi="Times New Roman" w:cs="Times New Roman"/>
          <w:sz w:val="24"/>
          <w:szCs w:val="24"/>
          <w:lang w:eastAsia="fr-FR"/>
        </w:rPr>
        <w:t xml:space="preserve"> sur les bancs de l’école. Si les filles doivent apprendre à </w:t>
      </w:r>
      <w:r w:rsidRPr="00583AD8">
        <w:rPr>
          <w:rFonts w:ascii="Times New Roman" w:eastAsia="Times New Roman" w:hAnsi="Times New Roman" w:cs="Times New Roman"/>
          <w:i/>
          <w:iCs/>
          <w:sz w:val="24"/>
          <w:szCs w:val="24"/>
          <w:lang w:eastAsia="fr-FR"/>
        </w:rPr>
        <w:t>« lire, écrire, compter »</w:t>
      </w:r>
      <w:r w:rsidRPr="00583AD8">
        <w:rPr>
          <w:rFonts w:ascii="Times New Roman" w:eastAsia="Times New Roman" w:hAnsi="Times New Roman" w:cs="Times New Roman"/>
          <w:sz w:val="24"/>
          <w:szCs w:val="24"/>
          <w:lang w:eastAsia="fr-FR"/>
        </w:rPr>
        <w:t xml:space="preserve"> en vertu de l’égalité des citoyens, elles ont aussi à se préparer, selon un décret de 1793, </w:t>
      </w:r>
      <w:r w:rsidRPr="00583AD8">
        <w:rPr>
          <w:rFonts w:ascii="Times New Roman" w:eastAsia="Times New Roman" w:hAnsi="Times New Roman" w:cs="Times New Roman"/>
          <w:i/>
          <w:iCs/>
          <w:sz w:val="24"/>
          <w:szCs w:val="24"/>
          <w:lang w:eastAsia="fr-FR"/>
        </w:rPr>
        <w:t xml:space="preserve">« aux talents utiles dans le gouvernement d’une famille ». </w:t>
      </w:r>
    </w:p>
    <w:p w14:paraId="5B9893CF" w14:textId="77777777" w:rsidR="00583AD8" w:rsidRPr="00583AD8" w:rsidRDefault="00583AD8" w:rsidP="00583AD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583AD8">
        <w:rPr>
          <w:rFonts w:ascii="Times New Roman" w:eastAsia="Times New Roman" w:hAnsi="Times New Roman" w:cs="Times New Roman"/>
          <w:b/>
          <w:bCs/>
          <w:sz w:val="36"/>
          <w:szCs w:val="36"/>
          <w:lang w:eastAsia="fr-FR"/>
        </w:rPr>
        <w:t>Révolution à bas bruit</w:t>
      </w:r>
    </w:p>
    <w:p w14:paraId="076B5DCB" w14:textId="77777777" w:rsidR="00583AD8" w:rsidRPr="00583AD8" w:rsidRDefault="00583AD8" w:rsidP="00583AD8">
      <w:pPr>
        <w:spacing w:before="100" w:beforeAutospacing="1" w:after="100" w:afterAutospacing="1" w:line="240" w:lineRule="auto"/>
        <w:rPr>
          <w:rFonts w:ascii="Times New Roman" w:eastAsia="Times New Roman" w:hAnsi="Times New Roman" w:cs="Times New Roman"/>
          <w:sz w:val="24"/>
          <w:szCs w:val="24"/>
          <w:lang w:eastAsia="fr-FR"/>
        </w:rPr>
      </w:pPr>
      <w:r w:rsidRPr="00583AD8">
        <w:rPr>
          <w:rFonts w:ascii="Times New Roman" w:eastAsia="Times New Roman" w:hAnsi="Times New Roman" w:cs="Times New Roman"/>
          <w:sz w:val="24"/>
          <w:szCs w:val="24"/>
          <w:lang w:eastAsia="fr-FR"/>
        </w:rPr>
        <w:t>L’inégalité de traitement dans les écoles va perdurer au XIX</w:t>
      </w:r>
      <w:r w:rsidRPr="00583AD8">
        <w:rPr>
          <w:rFonts w:ascii="Times New Roman" w:eastAsia="Times New Roman" w:hAnsi="Times New Roman" w:cs="Times New Roman"/>
          <w:sz w:val="24"/>
          <w:szCs w:val="24"/>
          <w:vertAlign w:val="superscript"/>
          <w:lang w:eastAsia="fr-FR"/>
        </w:rPr>
        <w:t>e</w:t>
      </w:r>
      <w:r w:rsidRPr="00583AD8">
        <w:rPr>
          <w:rFonts w:ascii="Times New Roman" w:eastAsia="Times New Roman" w:hAnsi="Times New Roman" w:cs="Times New Roman"/>
          <w:sz w:val="24"/>
          <w:szCs w:val="24"/>
          <w:lang w:eastAsia="fr-FR"/>
        </w:rPr>
        <w:t xml:space="preserve"> siècle, y compris durant la Troisième République, où </w:t>
      </w:r>
      <w:r w:rsidRPr="00583AD8">
        <w:rPr>
          <w:rFonts w:ascii="Times New Roman" w:eastAsia="Times New Roman" w:hAnsi="Times New Roman" w:cs="Times New Roman"/>
          <w:i/>
          <w:iCs/>
          <w:sz w:val="24"/>
          <w:szCs w:val="24"/>
          <w:lang w:eastAsia="fr-FR"/>
        </w:rPr>
        <w:t xml:space="preserve">« demeure la croyance profonde de destins séparés pour les filles et les garçons », </w:t>
      </w:r>
      <w:r w:rsidRPr="00583AD8">
        <w:rPr>
          <w:rFonts w:ascii="Times New Roman" w:eastAsia="Times New Roman" w:hAnsi="Times New Roman" w:cs="Times New Roman"/>
          <w:sz w:val="24"/>
          <w:szCs w:val="24"/>
          <w:lang w:eastAsia="fr-FR"/>
        </w:rPr>
        <w:t xml:space="preserve">rapporte l’historienne Rebecca Rogers, autrice de </w:t>
      </w:r>
      <w:r w:rsidRPr="00583AD8">
        <w:rPr>
          <w:rFonts w:ascii="Times New Roman" w:eastAsia="Times New Roman" w:hAnsi="Times New Roman" w:cs="Times New Roman"/>
          <w:i/>
          <w:iCs/>
          <w:sz w:val="24"/>
          <w:szCs w:val="24"/>
          <w:lang w:eastAsia="fr-FR"/>
        </w:rPr>
        <w:t>La Mixité dans l’éducation. Enjeux passés et présents</w:t>
      </w:r>
      <w:r w:rsidRPr="00583AD8">
        <w:rPr>
          <w:rFonts w:ascii="Times New Roman" w:eastAsia="Times New Roman" w:hAnsi="Times New Roman" w:cs="Times New Roman"/>
          <w:sz w:val="24"/>
          <w:szCs w:val="24"/>
          <w:lang w:eastAsia="fr-FR"/>
        </w:rPr>
        <w:t xml:space="preserve"> (ENS, 2004)</w:t>
      </w:r>
      <w:r w:rsidRPr="00583AD8">
        <w:rPr>
          <w:rFonts w:ascii="Times New Roman" w:eastAsia="Times New Roman" w:hAnsi="Times New Roman" w:cs="Times New Roman"/>
          <w:i/>
          <w:iCs/>
          <w:sz w:val="24"/>
          <w:szCs w:val="24"/>
          <w:lang w:eastAsia="fr-FR"/>
        </w:rPr>
        <w:t xml:space="preserve">. </w:t>
      </w:r>
      <w:r w:rsidRPr="00583AD8">
        <w:rPr>
          <w:rFonts w:ascii="Times New Roman" w:eastAsia="Times New Roman" w:hAnsi="Times New Roman" w:cs="Times New Roman"/>
          <w:sz w:val="24"/>
          <w:szCs w:val="24"/>
          <w:lang w:eastAsia="fr-FR"/>
        </w:rPr>
        <w:t>Mais la pénurie de bâtiments et d’enseignants conduit très tôt à regrouper les élèves dans la même classe en primaire, un rideau faisant parfois office de cloison. Au cours du premier tiers du XIX</w:t>
      </w:r>
      <w:r w:rsidRPr="00583AD8">
        <w:rPr>
          <w:rFonts w:ascii="Times New Roman" w:eastAsia="Times New Roman" w:hAnsi="Times New Roman" w:cs="Times New Roman"/>
          <w:sz w:val="24"/>
          <w:szCs w:val="24"/>
          <w:vertAlign w:val="superscript"/>
          <w:lang w:eastAsia="fr-FR"/>
        </w:rPr>
        <w:t>e</w:t>
      </w:r>
      <w:r w:rsidRPr="00583AD8">
        <w:rPr>
          <w:rFonts w:ascii="Times New Roman" w:eastAsia="Times New Roman" w:hAnsi="Times New Roman" w:cs="Times New Roman"/>
          <w:sz w:val="24"/>
          <w:szCs w:val="24"/>
          <w:lang w:eastAsia="fr-FR"/>
        </w:rPr>
        <w:t xml:space="preserve"> siècle, les écoles mixtes sont plus nombreuses que les écoles séparées. En 1933, quand la loi sur la « gémination » permet une répartition des élèves du primaire par tranche d’âge plutôt que par sexe, elle est déjà souvent mise en œuvre dans les petites communes rurales.</w:t>
      </w:r>
    </w:p>
    <w:p w14:paraId="5C6B0C10" w14:textId="77777777" w:rsidR="00583AD8" w:rsidRPr="00583AD8" w:rsidRDefault="00583AD8" w:rsidP="00583AD8">
      <w:pPr>
        <w:spacing w:before="100" w:beforeAutospacing="1" w:after="100" w:afterAutospacing="1" w:line="240" w:lineRule="auto"/>
        <w:rPr>
          <w:rFonts w:ascii="Times New Roman" w:eastAsia="Times New Roman" w:hAnsi="Times New Roman" w:cs="Times New Roman"/>
          <w:sz w:val="24"/>
          <w:szCs w:val="24"/>
          <w:lang w:eastAsia="fr-FR"/>
        </w:rPr>
      </w:pPr>
      <w:r w:rsidRPr="00583AD8">
        <w:rPr>
          <w:rFonts w:ascii="Times New Roman" w:eastAsia="Times New Roman" w:hAnsi="Times New Roman" w:cs="Times New Roman"/>
          <w:sz w:val="24"/>
          <w:szCs w:val="24"/>
          <w:lang w:eastAsia="fr-FR"/>
        </w:rPr>
        <w:t xml:space="preserve">Dans le secondaire aussi, l’intégration des filles, plus tardive, devance la loi. A partir de la première guerre mondiale, des circulaires autorisent certaines d’entre elles à rejoindre les lycées de garçons, à la suite de demandes individuelles. Pour ces pionnières, c’est souvent le seul moyen d’accéder aux études supérieures, car </w:t>
      </w:r>
      <w:r w:rsidRPr="00583AD8">
        <w:rPr>
          <w:rFonts w:ascii="Times New Roman" w:eastAsia="Times New Roman" w:hAnsi="Times New Roman" w:cs="Times New Roman"/>
          <w:i/>
          <w:iCs/>
          <w:sz w:val="24"/>
          <w:szCs w:val="24"/>
          <w:lang w:eastAsia="fr-FR"/>
        </w:rPr>
        <w:t xml:space="preserve">« les lycées de filles ne préparent pas au bac, mais à un diplôme de fin d’études, pensé pour former de bonnes mères de famille et des épouses de bonne compagnie », </w:t>
      </w:r>
      <w:r w:rsidRPr="00583AD8">
        <w:rPr>
          <w:rFonts w:ascii="Times New Roman" w:eastAsia="Times New Roman" w:hAnsi="Times New Roman" w:cs="Times New Roman"/>
          <w:sz w:val="24"/>
          <w:szCs w:val="24"/>
          <w:lang w:eastAsia="fr-FR"/>
        </w:rPr>
        <w:t xml:space="preserve">explique Geneviève </w:t>
      </w:r>
      <w:proofErr w:type="spellStart"/>
      <w:r w:rsidRPr="00583AD8">
        <w:rPr>
          <w:rFonts w:ascii="Times New Roman" w:eastAsia="Times New Roman" w:hAnsi="Times New Roman" w:cs="Times New Roman"/>
          <w:sz w:val="24"/>
          <w:szCs w:val="24"/>
          <w:lang w:eastAsia="fr-FR"/>
        </w:rPr>
        <w:t>Pezeu</w:t>
      </w:r>
      <w:proofErr w:type="spellEnd"/>
      <w:r w:rsidRPr="00583AD8">
        <w:rPr>
          <w:rFonts w:ascii="Times New Roman" w:eastAsia="Times New Roman" w:hAnsi="Times New Roman" w:cs="Times New Roman"/>
          <w:sz w:val="24"/>
          <w:szCs w:val="24"/>
          <w:lang w:eastAsia="fr-FR"/>
        </w:rPr>
        <w:t>. A la fin des années 1930, près de 60 % des établissements accueillent déjà des filles dans leurs classes. La réforme de 1975 ne fait qu’entériner une pratique déjà bien installée.</w:t>
      </w:r>
    </w:p>
    <w:p w14:paraId="11BABA13" w14:textId="77777777" w:rsidR="00583AD8" w:rsidRPr="00583AD8" w:rsidRDefault="00583AD8" w:rsidP="00583AD8">
      <w:pPr>
        <w:spacing w:before="100" w:beforeAutospacing="1" w:after="100" w:afterAutospacing="1" w:line="240" w:lineRule="auto"/>
        <w:rPr>
          <w:rFonts w:ascii="Times New Roman" w:eastAsia="Times New Roman" w:hAnsi="Times New Roman" w:cs="Times New Roman"/>
          <w:sz w:val="24"/>
          <w:szCs w:val="24"/>
          <w:lang w:eastAsia="fr-FR"/>
        </w:rPr>
      </w:pPr>
      <w:r w:rsidRPr="00583AD8">
        <w:rPr>
          <w:rFonts w:ascii="Times New Roman" w:eastAsia="Times New Roman" w:hAnsi="Times New Roman" w:cs="Times New Roman"/>
          <w:sz w:val="24"/>
          <w:szCs w:val="24"/>
          <w:lang w:eastAsia="fr-FR"/>
        </w:rPr>
        <w:t xml:space="preserve">Cette révolution à bas bruit, où pragmatisme et facteurs économiques l’emportent sur les enjeux éducatifs, porte en elle ses limites. </w:t>
      </w:r>
      <w:r w:rsidRPr="00583AD8">
        <w:rPr>
          <w:rFonts w:ascii="Times New Roman" w:eastAsia="Times New Roman" w:hAnsi="Times New Roman" w:cs="Times New Roman"/>
          <w:i/>
          <w:iCs/>
          <w:sz w:val="24"/>
          <w:szCs w:val="24"/>
          <w:lang w:eastAsia="fr-FR"/>
        </w:rPr>
        <w:t>« La mixité est devenue en France un symbole de l’universalisme républicain – chacun et chacune reçoivent la même instruction –, mais elle n’a pas été pensée pour promouvoir l’égalité dans le cadre d’une coéducation où l’on apprend non seulement côte à côte, mais ensemble et les uns des autres »</w:t>
      </w:r>
      <w:r w:rsidRPr="00583AD8">
        <w:rPr>
          <w:rFonts w:ascii="Times New Roman" w:eastAsia="Times New Roman" w:hAnsi="Times New Roman" w:cs="Times New Roman"/>
          <w:sz w:val="24"/>
          <w:szCs w:val="24"/>
          <w:lang w:eastAsia="fr-FR"/>
        </w:rPr>
        <w:t>, souligne Rebecca Rogers.</w:t>
      </w:r>
    </w:p>
    <w:p w14:paraId="438132D5" w14:textId="77777777" w:rsidR="00583AD8" w:rsidRPr="00583AD8" w:rsidRDefault="00583AD8" w:rsidP="00583AD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583AD8">
        <w:rPr>
          <w:rFonts w:ascii="Times New Roman" w:eastAsia="Times New Roman" w:hAnsi="Times New Roman" w:cs="Times New Roman"/>
          <w:b/>
          <w:bCs/>
          <w:sz w:val="36"/>
          <w:szCs w:val="36"/>
          <w:lang w:eastAsia="fr-FR"/>
        </w:rPr>
        <w:t>Absence de « dessein »</w:t>
      </w:r>
    </w:p>
    <w:p w14:paraId="4E87FD9B" w14:textId="77777777" w:rsidR="00583AD8" w:rsidRPr="00583AD8" w:rsidRDefault="00583AD8" w:rsidP="00583AD8">
      <w:pPr>
        <w:spacing w:before="100" w:beforeAutospacing="1" w:after="100" w:afterAutospacing="1" w:line="240" w:lineRule="auto"/>
        <w:rPr>
          <w:rFonts w:ascii="Times New Roman" w:eastAsia="Times New Roman" w:hAnsi="Times New Roman" w:cs="Times New Roman"/>
          <w:sz w:val="24"/>
          <w:szCs w:val="24"/>
          <w:lang w:eastAsia="fr-FR"/>
        </w:rPr>
      </w:pPr>
      <w:r w:rsidRPr="00583AD8">
        <w:rPr>
          <w:rFonts w:ascii="Times New Roman" w:eastAsia="Times New Roman" w:hAnsi="Times New Roman" w:cs="Times New Roman"/>
          <w:sz w:val="24"/>
          <w:szCs w:val="24"/>
          <w:lang w:eastAsia="fr-FR"/>
        </w:rPr>
        <w:t xml:space="preserve">De nombreux travaux explorent les effets de cette mixité </w:t>
      </w:r>
      <w:r w:rsidRPr="00583AD8">
        <w:rPr>
          <w:rFonts w:ascii="Times New Roman" w:eastAsia="Times New Roman" w:hAnsi="Times New Roman" w:cs="Times New Roman"/>
          <w:i/>
          <w:iCs/>
          <w:sz w:val="24"/>
          <w:szCs w:val="24"/>
          <w:lang w:eastAsia="fr-FR"/>
        </w:rPr>
        <w:t>« sans dessein »</w:t>
      </w:r>
      <w:r w:rsidRPr="00583AD8">
        <w:rPr>
          <w:rFonts w:ascii="Times New Roman" w:eastAsia="Times New Roman" w:hAnsi="Times New Roman" w:cs="Times New Roman"/>
          <w:sz w:val="24"/>
          <w:szCs w:val="24"/>
          <w:lang w:eastAsia="fr-FR"/>
        </w:rPr>
        <w:t>, selon</w:t>
      </w:r>
      <w:hyperlink r:id="rId7" w:tgtFrame="_blank" w:tooltip="Nouvelle fenêtre" w:history="1">
        <w:r w:rsidRPr="00583AD8">
          <w:rPr>
            <w:rFonts w:ascii="Times New Roman" w:eastAsia="Times New Roman" w:hAnsi="Times New Roman" w:cs="Times New Roman"/>
            <w:color w:val="0000FF"/>
            <w:sz w:val="24"/>
            <w:szCs w:val="24"/>
            <w:u w:val="single"/>
            <w:lang w:eastAsia="fr-FR"/>
          </w:rPr>
          <w:t xml:space="preserve"> les termes de la philosophe Nicole </w:t>
        </w:r>
        <w:proofErr w:type="spellStart"/>
        <w:r w:rsidRPr="00583AD8">
          <w:rPr>
            <w:rFonts w:ascii="Times New Roman" w:eastAsia="Times New Roman" w:hAnsi="Times New Roman" w:cs="Times New Roman"/>
            <w:color w:val="0000FF"/>
            <w:sz w:val="24"/>
            <w:szCs w:val="24"/>
            <w:u w:val="single"/>
            <w:lang w:eastAsia="fr-FR"/>
          </w:rPr>
          <w:t>Mosconi</w:t>
        </w:r>
        <w:proofErr w:type="spellEnd"/>
        <w:r w:rsidRPr="00583AD8">
          <w:rPr>
            <w:rFonts w:ascii="Times New Roman" w:eastAsia="Times New Roman" w:hAnsi="Times New Roman" w:cs="Times New Roman"/>
            <w:color w:val="0000FF"/>
            <w:sz w:val="24"/>
            <w:szCs w:val="24"/>
            <w:u w:val="single"/>
            <w:lang w:eastAsia="fr-FR"/>
          </w:rPr>
          <w:t>.</w:t>
        </w:r>
      </w:hyperlink>
      <w:r w:rsidRPr="00583AD8">
        <w:rPr>
          <w:rFonts w:ascii="Times New Roman" w:eastAsia="Times New Roman" w:hAnsi="Times New Roman" w:cs="Times New Roman"/>
          <w:sz w:val="24"/>
          <w:szCs w:val="24"/>
          <w:lang w:eastAsia="fr-FR"/>
        </w:rPr>
        <w:t xml:space="preserve"> D’un côté, les filles réussissent mieux à l’école que les garçons, de l’autre, ces derniers occupent plus largement l’espace, y compris sonore. Ils sont ainsi plus souvent sollicités dans le secondaire, et ils le sont pour faire avancer le cours, quand les filles sont interrogées pour rappeler la leçon précédente, rappelle Isabelle Collet, chercheuse en sciences de l’éducation à l’université de Genève. Ainsi se construisent </w:t>
      </w:r>
      <w:r w:rsidRPr="00583AD8">
        <w:rPr>
          <w:rFonts w:ascii="Times New Roman" w:eastAsia="Times New Roman" w:hAnsi="Times New Roman" w:cs="Times New Roman"/>
          <w:i/>
          <w:iCs/>
          <w:sz w:val="24"/>
          <w:szCs w:val="24"/>
          <w:lang w:eastAsia="fr-FR"/>
        </w:rPr>
        <w:t>« deux rapports au savoir différents : les garçons pour créer le savoir nouveau, les filles pour le transmettre »</w:t>
      </w:r>
      <w:r w:rsidRPr="00583AD8">
        <w:rPr>
          <w:rFonts w:ascii="Times New Roman" w:eastAsia="Times New Roman" w:hAnsi="Times New Roman" w:cs="Times New Roman"/>
          <w:sz w:val="24"/>
          <w:szCs w:val="24"/>
          <w:lang w:eastAsia="fr-FR"/>
        </w:rPr>
        <w:t>, qui influent sur l’orientation et la place dans la société.</w:t>
      </w:r>
    </w:p>
    <w:p w14:paraId="21C322DA" w14:textId="77777777" w:rsidR="00583AD8" w:rsidRPr="00583AD8" w:rsidRDefault="00583AD8" w:rsidP="00583AD8">
      <w:pPr>
        <w:spacing w:before="100" w:beforeAutospacing="1" w:after="100" w:afterAutospacing="1" w:line="240" w:lineRule="auto"/>
        <w:rPr>
          <w:rFonts w:ascii="Times New Roman" w:eastAsia="Times New Roman" w:hAnsi="Times New Roman" w:cs="Times New Roman"/>
          <w:sz w:val="24"/>
          <w:szCs w:val="24"/>
          <w:lang w:eastAsia="fr-FR"/>
        </w:rPr>
      </w:pPr>
      <w:r w:rsidRPr="00583AD8">
        <w:rPr>
          <w:rFonts w:ascii="Times New Roman" w:eastAsia="Times New Roman" w:hAnsi="Times New Roman" w:cs="Times New Roman"/>
          <w:sz w:val="24"/>
          <w:szCs w:val="24"/>
          <w:lang w:eastAsia="fr-FR"/>
        </w:rPr>
        <w:lastRenderedPageBreak/>
        <w:t xml:space="preserve">Pour Geneviève </w:t>
      </w:r>
      <w:proofErr w:type="spellStart"/>
      <w:r w:rsidRPr="00583AD8">
        <w:rPr>
          <w:rFonts w:ascii="Times New Roman" w:eastAsia="Times New Roman" w:hAnsi="Times New Roman" w:cs="Times New Roman"/>
          <w:sz w:val="24"/>
          <w:szCs w:val="24"/>
          <w:lang w:eastAsia="fr-FR"/>
        </w:rPr>
        <w:t>Pezeu</w:t>
      </w:r>
      <w:proofErr w:type="spellEnd"/>
      <w:r w:rsidRPr="00583AD8">
        <w:rPr>
          <w:rFonts w:ascii="Times New Roman" w:eastAsia="Times New Roman" w:hAnsi="Times New Roman" w:cs="Times New Roman"/>
          <w:sz w:val="24"/>
          <w:szCs w:val="24"/>
          <w:lang w:eastAsia="fr-FR"/>
        </w:rPr>
        <w:t xml:space="preserve">, </w:t>
      </w:r>
      <w:r w:rsidRPr="00583AD8">
        <w:rPr>
          <w:rFonts w:ascii="Times New Roman" w:eastAsia="Times New Roman" w:hAnsi="Times New Roman" w:cs="Times New Roman"/>
          <w:i/>
          <w:iCs/>
          <w:sz w:val="24"/>
          <w:szCs w:val="24"/>
          <w:lang w:eastAsia="fr-FR"/>
        </w:rPr>
        <w:t>« la mixité est érigée en valeur, alors qu’il s’agit avant tout d’une pratique, qui doit être active et réfléchie. Il ne suffit pas de mélanger les sexes pour neutraliser les systèmes de domination. Il faut former les enseignants et développer une éducation à l’égalité. Dans ce contexte, les temps de non-mixité peuvent être utiles, à condition qu’ils servent à mieux construire la mixité »</w:t>
      </w:r>
      <w:r w:rsidRPr="00583AD8">
        <w:rPr>
          <w:rFonts w:ascii="Times New Roman" w:eastAsia="Times New Roman" w:hAnsi="Times New Roman" w:cs="Times New Roman"/>
          <w:sz w:val="24"/>
          <w:szCs w:val="24"/>
          <w:lang w:eastAsia="fr-FR"/>
        </w:rPr>
        <w:t xml:space="preserve">. Un </w:t>
      </w:r>
      <w:hyperlink r:id="rId8" w:history="1">
        <w:r w:rsidRPr="00583AD8">
          <w:rPr>
            <w:rFonts w:ascii="Times New Roman" w:eastAsia="Times New Roman" w:hAnsi="Times New Roman" w:cs="Times New Roman"/>
            <w:color w:val="0000FF"/>
            <w:sz w:val="24"/>
            <w:szCs w:val="24"/>
            <w:u w:val="single"/>
            <w:lang w:eastAsia="fr-FR"/>
          </w:rPr>
          <w:t>sujet hautement inflammable</w:t>
        </w:r>
      </w:hyperlink>
      <w:r w:rsidRPr="00583AD8">
        <w:rPr>
          <w:rFonts w:ascii="Times New Roman" w:eastAsia="Times New Roman" w:hAnsi="Times New Roman" w:cs="Times New Roman"/>
          <w:sz w:val="24"/>
          <w:szCs w:val="24"/>
          <w:lang w:eastAsia="fr-FR"/>
        </w:rPr>
        <w:t>, sur fond de raidissement du débat sur la laïcité.</w:t>
      </w:r>
    </w:p>
    <w:p w14:paraId="2A2FAA44" w14:textId="77777777" w:rsidR="00583AD8" w:rsidRPr="00583AD8" w:rsidRDefault="00583AD8" w:rsidP="00583AD8">
      <w:pPr>
        <w:spacing w:before="100" w:beforeAutospacing="1" w:after="100" w:afterAutospacing="1" w:line="240" w:lineRule="auto"/>
        <w:rPr>
          <w:rFonts w:ascii="Times New Roman" w:eastAsia="Times New Roman" w:hAnsi="Times New Roman" w:cs="Times New Roman"/>
          <w:sz w:val="24"/>
          <w:szCs w:val="24"/>
          <w:lang w:eastAsia="fr-FR"/>
        </w:rPr>
      </w:pPr>
      <w:r w:rsidRPr="00583AD8">
        <w:rPr>
          <w:rFonts w:ascii="Times New Roman" w:eastAsia="Times New Roman" w:hAnsi="Times New Roman" w:cs="Times New Roman"/>
          <w:sz w:val="24"/>
          <w:szCs w:val="24"/>
          <w:lang w:eastAsia="fr-FR"/>
        </w:rPr>
        <w:t xml:space="preserve">C’est sans doute dans la cour de récréation que se jouent les avancées les plus pacifiées. La géographe </w:t>
      </w:r>
      <w:hyperlink r:id="rId9" w:tgtFrame="_blank" w:tooltip="Nouvelle fenêtre" w:history="1">
        <w:r w:rsidRPr="00583AD8">
          <w:rPr>
            <w:rFonts w:ascii="Times New Roman" w:eastAsia="Times New Roman" w:hAnsi="Times New Roman" w:cs="Times New Roman"/>
            <w:color w:val="0000FF"/>
            <w:sz w:val="24"/>
            <w:szCs w:val="24"/>
            <w:u w:val="single"/>
            <w:lang w:eastAsia="fr-FR"/>
          </w:rPr>
          <w:t xml:space="preserve">Edith </w:t>
        </w:r>
        <w:proofErr w:type="spellStart"/>
        <w:r w:rsidRPr="00583AD8">
          <w:rPr>
            <w:rFonts w:ascii="Times New Roman" w:eastAsia="Times New Roman" w:hAnsi="Times New Roman" w:cs="Times New Roman"/>
            <w:color w:val="0000FF"/>
            <w:sz w:val="24"/>
            <w:szCs w:val="24"/>
            <w:u w:val="single"/>
            <w:lang w:eastAsia="fr-FR"/>
          </w:rPr>
          <w:t>Maruéjouls</w:t>
        </w:r>
        <w:proofErr w:type="spellEnd"/>
        <w:r w:rsidRPr="00583AD8">
          <w:rPr>
            <w:rFonts w:ascii="Times New Roman" w:eastAsia="Times New Roman" w:hAnsi="Times New Roman" w:cs="Times New Roman"/>
            <w:color w:val="0000FF"/>
            <w:sz w:val="24"/>
            <w:szCs w:val="24"/>
            <w:u w:val="single"/>
            <w:lang w:eastAsia="fr-FR"/>
          </w:rPr>
          <w:t xml:space="preserve"> </w:t>
        </w:r>
      </w:hyperlink>
      <w:r w:rsidRPr="00583AD8">
        <w:rPr>
          <w:rFonts w:ascii="Times New Roman" w:eastAsia="Times New Roman" w:hAnsi="Times New Roman" w:cs="Times New Roman"/>
          <w:sz w:val="24"/>
          <w:szCs w:val="24"/>
          <w:lang w:eastAsia="fr-FR"/>
        </w:rPr>
        <w:t xml:space="preserve">y a mis en évidence l’inégale répartition de l’espace, les garçons occupant le centre pour jouer au football, les filles restant en périphérie. Une </w:t>
      </w:r>
      <w:r w:rsidRPr="00583AD8">
        <w:rPr>
          <w:rFonts w:ascii="Times New Roman" w:eastAsia="Times New Roman" w:hAnsi="Times New Roman" w:cs="Times New Roman"/>
          <w:i/>
          <w:iCs/>
          <w:sz w:val="24"/>
          <w:szCs w:val="24"/>
          <w:lang w:eastAsia="fr-FR"/>
        </w:rPr>
        <w:t>« géographie très sexuée »</w:t>
      </w:r>
      <w:r w:rsidRPr="00583AD8">
        <w:rPr>
          <w:rFonts w:ascii="Times New Roman" w:eastAsia="Times New Roman" w:hAnsi="Times New Roman" w:cs="Times New Roman"/>
          <w:sz w:val="24"/>
          <w:szCs w:val="24"/>
          <w:lang w:eastAsia="fr-FR"/>
        </w:rPr>
        <w:t xml:space="preserve"> épinglée par un rapport du Haut Conseil à l’égalité filles-garçons en 2017. Depuis, des municipalités entreprennent de </w:t>
      </w:r>
      <w:r w:rsidRPr="00583AD8">
        <w:rPr>
          <w:rFonts w:ascii="Times New Roman" w:eastAsia="Times New Roman" w:hAnsi="Times New Roman" w:cs="Times New Roman"/>
          <w:i/>
          <w:iCs/>
          <w:sz w:val="24"/>
          <w:szCs w:val="24"/>
          <w:lang w:eastAsia="fr-FR"/>
        </w:rPr>
        <w:t>« dégenrer »</w:t>
      </w:r>
      <w:r w:rsidRPr="00583AD8">
        <w:rPr>
          <w:rFonts w:ascii="Times New Roman" w:eastAsia="Times New Roman" w:hAnsi="Times New Roman" w:cs="Times New Roman"/>
          <w:sz w:val="24"/>
          <w:szCs w:val="24"/>
          <w:lang w:eastAsia="fr-FR"/>
        </w:rPr>
        <w:t xml:space="preserve"> les cours de récré en créant des zones de rencontres et de jeux collectifs. Une autre façon d’apprendre l’égalité.</w:t>
      </w:r>
    </w:p>
    <w:p w14:paraId="01A3B9E4" w14:textId="77777777" w:rsidR="00583AD8" w:rsidRPr="00583AD8" w:rsidRDefault="00583AD8" w:rsidP="00583AD8">
      <w:pPr>
        <w:spacing w:before="100" w:beforeAutospacing="1" w:after="100" w:afterAutospacing="1" w:line="240" w:lineRule="auto"/>
        <w:rPr>
          <w:rFonts w:ascii="Times New Roman" w:eastAsia="Times New Roman" w:hAnsi="Times New Roman" w:cs="Times New Roman"/>
          <w:sz w:val="24"/>
          <w:szCs w:val="24"/>
          <w:lang w:eastAsia="fr-FR"/>
        </w:rPr>
      </w:pPr>
      <w:r w:rsidRPr="00583AD8">
        <w:rPr>
          <w:rFonts w:ascii="Times New Roman" w:eastAsia="Times New Roman" w:hAnsi="Times New Roman" w:cs="Times New Roman"/>
          <w:sz w:val="24"/>
          <w:szCs w:val="24"/>
          <w:lang w:eastAsia="fr-FR"/>
        </w:rPr>
        <w:t>Claire Legros</w:t>
      </w:r>
    </w:p>
    <w:p w14:paraId="21019F62" w14:textId="77777777" w:rsidR="00062832" w:rsidRDefault="00062832"/>
    <w:sectPr w:rsidR="000628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6126D"/>
    <w:multiLevelType w:val="multilevel"/>
    <w:tmpl w:val="3160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D92E88"/>
    <w:multiLevelType w:val="multilevel"/>
    <w:tmpl w:val="C0A2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521D11"/>
    <w:multiLevelType w:val="multilevel"/>
    <w:tmpl w:val="A97C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D8"/>
    <w:rsid w:val="00062832"/>
    <w:rsid w:val="00583AD8"/>
    <w:rsid w:val="00C93E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0165"/>
  <w15:chartTrackingRefBased/>
  <w15:docId w15:val="{FDCD9A47-06B4-4CE3-889D-31CD37D1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83A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83AD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3AD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83AD8"/>
    <w:rPr>
      <w:rFonts w:ascii="Times New Roman" w:eastAsia="Times New Roman" w:hAnsi="Times New Roman" w:cs="Times New Roman"/>
      <w:b/>
      <w:bCs/>
      <w:sz w:val="36"/>
      <w:szCs w:val="36"/>
      <w:lang w:eastAsia="fr-FR"/>
    </w:rPr>
  </w:style>
  <w:style w:type="paragraph" w:customStyle="1" w:styleId="breadcrumbparent">
    <w:name w:val="breadcrumb__parent"/>
    <w:basedOn w:val="Normal"/>
    <w:rsid w:val="00583A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83AD8"/>
    <w:rPr>
      <w:color w:val="0000FF"/>
      <w:u w:val="single"/>
    </w:rPr>
  </w:style>
  <w:style w:type="paragraph" w:customStyle="1" w:styleId="breadcrumbchild">
    <w:name w:val="breadcrumb__child"/>
    <w:basedOn w:val="Normal"/>
    <w:rsid w:val="00583AD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desc">
    <w:name w:val="article__desc"/>
    <w:basedOn w:val="Normal"/>
    <w:rsid w:val="00583AD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ta">
    <w:name w:val="meta"/>
    <w:basedOn w:val="Normal"/>
    <w:rsid w:val="00583A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taauthor">
    <w:name w:val="meta__author"/>
    <w:basedOn w:val="Policepardfaut"/>
    <w:rsid w:val="00583AD8"/>
  </w:style>
  <w:style w:type="character" w:customStyle="1" w:styleId="metadate">
    <w:name w:val="meta__date"/>
    <w:basedOn w:val="Policepardfaut"/>
    <w:rsid w:val="00583AD8"/>
  </w:style>
  <w:style w:type="paragraph" w:customStyle="1" w:styleId="metareading-time">
    <w:name w:val="meta__reading-time"/>
    <w:basedOn w:val="Normal"/>
    <w:rsid w:val="00583A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r-only">
    <w:name w:val="sr-only"/>
    <w:basedOn w:val="Policepardfaut"/>
    <w:rsid w:val="00583AD8"/>
  </w:style>
  <w:style w:type="paragraph" w:customStyle="1" w:styleId="metatext">
    <w:name w:val="meta__text"/>
    <w:basedOn w:val="Normal"/>
    <w:rsid w:val="00583AD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taicon">
    <w:name w:val="meta__icon"/>
    <w:basedOn w:val="Normal"/>
    <w:rsid w:val="00583AD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status">
    <w:name w:val="article__status"/>
    <w:basedOn w:val="Normal"/>
    <w:rsid w:val="00583A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rticlecredit">
    <w:name w:val="article__credit"/>
    <w:basedOn w:val="Policepardfaut"/>
    <w:rsid w:val="00583AD8"/>
  </w:style>
  <w:style w:type="paragraph" w:customStyle="1" w:styleId="articleparagraph">
    <w:name w:val="article__paragraph"/>
    <w:basedOn w:val="Normal"/>
    <w:rsid w:val="00583A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83AD8"/>
    <w:rPr>
      <w:b/>
      <w:bCs/>
    </w:rPr>
  </w:style>
  <w:style w:type="character" w:styleId="Accentuation">
    <w:name w:val="Emphasis"/>
    <w:basedOn w:val="Policepardfaut"/>
    <w:uiPriority w:val="20"/>
    <w:qFormat/>
    <w:rsid w:val="00583AD8"/>
    <w:rPr>
      <w:i/>
      <w:iCs/>
    </w:rPr>
  </w:style>
  <w:style w:type="paragraph" w:customStyle="1" w:styleId="memorabledescription">
    <w:name w:val="memorable__description"/>
    <w:basedOn w:val="Normal"/>
    <w:rsid w:val="00583A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atchertitle">
    <w:name w:val="catcher__title"/>
    <w:basedOn w:val="Policepardfaut"/>
    <w:rsid w:val="00583AD8"/>
  </w:style>
  <w:style w:type="character" w:customStyle="1" w:styleId="catcherdesc">
    <w:name w:val="catcher__desc"/>
    <w:basedOn w:val="Policepardfaut"/>
    <w:rsid w:val="00583AD8"/>
  </w:style>
  <w:style w:type="paragraph" w:customStyle="1" w:styleId="articleauthor-container">
    <w:name w:val="article__author-container"/>
    <w:basedOn w:val="Normal"/>
    <w:rsid w:val="00583A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horname">
    <w:name w:val="author__name"/>
    <w:basedOn w:val="Policepardfaut"/>
    <w:rsid w:val="00583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627928">
      <w:bodyDiv w:val="1"/>
      <w:marLeft w:val="0"/>
      <w:marRight w:val="0"/>
      <w:marTop w:val="0"/>
      <w:marBottom w:val="0"/>
      <w:divBdr>
        <w:top w:val="none" w:sz="0" w:space="0" w:color="auto"/>
        <w:left w:val="none" w:sz="0" w:space="0" w:color="auto"/>
        <w:bottom w:val="none" w:sz="0" w:space="0" w:color="auto"/>
        <w:right w:val="none" w:sz="0" w:space="0" w:color="auto"/>
      </w:divBdr>
      <w:divsChild>
        <w:div w:id="1622490125">
          <w:marLeft w:val="0"/>
          <w:marRight w:val="0"/>
          <w:marTop w:val="0"/>
          <w:marBottom w:val="0"/>
          <w:divBdr>
            <w:top w:val="none" w:sz="0" w:space="0" w:color="auto"/>
            <w:left w:val="none" w:sz="0" w:space="0" w:color="auto"/>
            <w:bottom w:val="none" w:sz="0" w:space="0" w:color="auto"/>
            <w:right w:val="none" w:sz="0" w:space="0" w:color="auto"/>
          </w:divBdr>
        </w:div>
        <w:div w:id="98264064">
          <w:marLeft w:val="0"/>
          <w:marRight w:val="0"/>
          <w:marTop w:val="0"/>
          <w:marBottom w:val="0"/>
          <w:divBdr>
            <w:top w:val="none" w:sz="0" w:space="0" w:color="auto"/>
            <w:left w:val="none" w:sz="0" w:space="0" w:color="auto"/>
            <w:bottom w:val="none" w:sz="0" w:space="0" w:color="auto"/>
            <w:right w:val="none" w:sz="0" w:space="0" w:color="auto"/>
          </w:divBdr>
          <w:divsChild>
            <w:div w:id="10794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les-decodeurs/article/2018/04/18/pourquoi-la-non-mixite-est-elle-critiquee_5287226_4355770.html" TargetMode="External"/><Relationship Id="rId3" Type="http://schemas.openxmlformats.org/officeDocument/2006/relationships/settings" Target="settings.xml"/><Relationship Id="rId7" Type="http://schemas.openxmlformats.org/officeDocument/2006/relationships/hyperlink" Target="https://www.cairn.info/revue-travail-genre-et-societes-2004-1-page-16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lemonde.fr/signataires/claire-legro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l.archives-ouvertes.fr/tel-01131575/file/These_Edith_MARUEJOULS_BENOIT.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966</Words>
  <Characters>5316</Characters>
  <Application>Microsoft Office Word</Application>
  <DocSecurity>0</DocSecurity>
  <Lines>44</Lines>
  <Paragraphs>12</Paragraphs>
  <ScaleCrop>false</ScaleCrop>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Rougé</dc:creator>
  <cp:keywords/>
  <dc:description/>
  <cp:lastModifiedBy>Marine Rougé</cp:lastModifiedBy>
  <cp:revision>1</cp:revision>
  <dcterms:created xsi:type="dcterms:W3CDTF">2021-09-15T11:55:00Z</dcterms:created>
  <dcterms:modified xsi:type="dcterms:W3CDTF">2021-09-15T11:57:00Z</dcterms:modified>
</cp:coreProperties>
</file>