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80D3C">
              <w:rPr>
                <w:rFonts w:ascii="Comic Sans MS" w:hAnsi="Comic Sans MS" w:cs="Arial"/>
                <w:sz w:val="24"/>
                <w:szCs w:val="24"/>
              </w:rPr>
              <w:t>Transf</w:t>
            </w:r>
            <w:r w:rsidR="008007FC">
              <w:rPr>
                <w:rFonts w:ascii="Comic Sans MS" w:hAnsi="Comic Sans MS" w:cs="Arial"/>
                <w:sz w:val="24"/>
                <w:szCs w:val="24"/>
              </w:rPr>
              <w:t>erts d’énergie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E109F"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>/</w:t>
            </w:r>
            <w:r w:rsidR="00515E41">
              <w:rPr>
                <w:rFonts w:ascii="Comic Sans MS" w:hAnsi="Comic Sans MS" w:cs="Arial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15E41">
              <w:rPr>
                <w:rFonts w:ascii="Comic Sans MS" w:hAnsi="Comic Sans MS" w:cs="Arial"/>
                <w:sz w:val="24"/>
                <w:szCs w:val="24"/>
              </w:rPr>
              <w:t>Transfert thermique lors d’un changement d’état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9A1C74" w:rsidRDefault="00515E41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15E41">
              <w:rPr>
                <w:rFonts w:ascii="Comic Sans MS" w:hAnsi="Comic Sans MS" w:cs="Arial"/>
                <w:sz w:val="24"/>
                <w:szCs w:val="24"/>
              </w:rPr>
              <w:t>Transformations physiques endothermiques et exothermiques.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A87C1F" w:rsidRPr="0056755D" w:rsidRDefault="00515E41" w:rsidP="00A87C1F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15E41">
              <w:rPr>
                <w:rFonts w:ascii="Comic Sans MS" w:hAnsi="Comic Sans MS" w:cs="Arial"/>
                <w:sz w:val="24"/>
                <w:szCs w:val="24"/>
              </w:rPr>
              <w:t>Identifier le sens du transfert thermique lors d’un changement d’état et le relier au terme exothermique ou endothermique.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E109F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D7E12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D7E12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8007FC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280D3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280D3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280D3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D7E12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8007FC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6246C5" w:rsidRDefault="006246C5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9B5C57" w:rsidRDefault="002F053F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1 page 106.</w:t>
            </w:r>
          </w:p>
          <w:p w:rsidR="004E109F" w:rsidRPr="009079E1" w:rsidRDefault="004E109F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885DE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9079E1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7E1291">
              <w:rPr>
                <w:rFonts w:ascii="Comic Sans MS" w:hAnsi="Comic Sans MS" w:cs="Arial"/>
                <w:sz w:val="24"/>
                <w:szCs w:val="24"/>
              </w:rPr>
              <w:t> : 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E129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280D3C" w:rsidRDefault="002F053F" w:rsidP="004E109F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 contextualisée par le réfrigérateur.</w:t>
            </w:r>
          </w:p>
          <w:p w:rsidR="004E109F" w:rsidRPr="009A1C74" w:rsidRDefault="004E109F" w:rsidP="004E109F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651BD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Questions 1. a, b et c.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651BD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 au tableau d’un élève.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651BD5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651BD5" w:rsidRPr="007005B0" w:rsidRDefault="00651BD5" w:rsidP="00651BD5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651BD5" w:rsidRPr="007005B0" w:rsidRDefault="00651BD5" w:rsidP="00651BD5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651BD5" w:rsidRPr="007005B0" w:rsidRDefault="00651BD5" w:rsidP="00651BD5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Questions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 a, b et c.</w:t>
            </w:r>
          </w:p>
        </w:tc>
      </w:tr>
      <w:tr w:rsidR="00651BD5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651BD5" w:rsidRPr="007005B0" w:rsidRDefault="00651BD5" w:rsidP="00651BD5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651BD5" w:rsidRPr="007005B0" w:rsidRDefault="00651BD5" w:rsidP="00651BD5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 au tableau d’un élève.</w:t>
            </w:r>
          </w:p>
        </w:tc>
        <w:tc>
          <w:tcPr>
            <w:tcW w:w="5330" w:type="dxa"/>
            <w:gridSpan w:val="10"/>
            <w:vAlign w:val="center"/>
          </w:tcPr>
          <w:p w:rsidR="00651BD5" w:rsidRPr="007005B0" w:rsidRDefault="00651BD5" w:rsidP="00651BD5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651BD5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Carte mentale page 113.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651BD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8 page 115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37E9D"/>
    <w:rsid w:val="002458AC"/>
    <w:rsid w:val="00280D3C"/>
    <w:rsid w:val="00286038"/>
    <w:rsid w:val="0029290F"/>
    <w:rsid w:val="002D4FB9"/>
    <w:rsid w:val="002F053F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E109F"/>
    <w:rsid w:val="004F79B8"/>
    <w:rsid w:val="00515E41"/>
    <w:rsid w:val="00554141"/>
    <w:rsid w:val="0056755D"/>
    <w:rsid w:val="0057017D"/>
    <w:rsid w:val="005D2978"/>
    <w:rsid w:val="006246C5"/>
    <w:rsid w:val="006412D9"/>
    <w:rsid w:val="00651BD5"/>
    <w:rsid w:val="0065489E"/>
    <w:rsid w:val="006A6D87"/>
    <w:rsid w:val="006D2640"/>
    <w:rsid w:val="006E5A6D"/>
    <w:rsid w:val="007005B0"/>
    <w:rsid w:val="00720F01"/>
    <w:rsid w:val="00721E16"/>
    <w:rsid w:val="007E1291"/>
    <w:rsid w:val="008007FC"/>
    <w:rsid w:val="00845EBC"/>
    <w:rsid w:val="0088054C"/>
    <w:rsid w:val="00885DEA"/>
    <w:rsid w:val="008C5B80"/>
    <w:rsid w:val="008F79F8"/>
    <w:rsid w:val="009079E1"/>
    <w:rsid w:val="00915426"/>
    <w:rsid w:val="00920638"/>
    <w:rsid w:val="009A1C74"/>
    <w:rsid w:val="009B5C57"/>
    <w:rsid w:val="009D7E12"/>
    <w:rsid w:val="009E74AC"/>
    <w:rsid w:val="009F6951"/>
    <w:rsid w:val="00A31223"/>
    <w:rsid w:val="00A41985"/>
    <w:rsid w:val="00A500D0"/>
    <w:rsid w:val="00A87C1F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D0633F"/>
    <w:rsid w:val="00D357B9"/>
    <w:rsid w:val="00D633A8"/>
    <w:rsid w:val="00DA252F"/>
    <w:rsid w:val="00DD0E7F"/>
    <w:rsid w:val="00E34E86"/>
    <w:rsid w:val="00E41CF6"/>
    <w:rsid w:val="00EB0B38"/>
    <w:rsid w:val="00EC55C4"/>
    <w:rsid w:val="00EE5CBE"/>
    <w:rsid w:val="00EE5D86"/>
    <w:rsid w:val="00F101ED"/>
    <w:rsid w:val="00F47478"/>
    <w:rsid w:val="00F94171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934B4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85E32-6745-4D42-935C-371176ED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40</cp:revision>
  <cp:lastPrinted>2019-03-03T13:33:00Z</cp:lastPrinted>
  <dcterms:created xsi:type="dcterms:W3CDTF">2019-05-03T07:54:00Z</dcterms:created>
  <dcterms:modified xsi:type="dcterms:W3CDTF">2019-07-25T08:18:00Z</dcterms:modified>
</cp:coreProperties>
</file>