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EFD" w:rsidRDefault="00804A25">
      <w:p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>A partir des documents 1 à 5 p 24 et 25 de votre manuel, vous devez réaliser par groupe de trois un panneau en forma</w:t>
      </w:r>
      <w:r w:rsidR="00C17F76" w:rsidRPr="0041455D">
        <w:rPr>
          <w:rFonts w:ascii="Comic Sans MS" w:hAnsi="Comic Sans MS"/>
          <w:color w:val="000000" w:themeColor="text1"/>
          <w:sz w:val="24"/>
          <w:szCs w:val="24"/>
        </w:rPr>
        <w:t>t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 A3 respectant les critères de réussites suivants.</w:t>
      </w:r>
    </w:p>
    <w:p w:rsidR="00EC296A" w:rsidRPr="0041455D" w:rsidRDefault="00EC296A">
      <w:pPr>
        <w:rPr>
          <w:rFonts w:ascii="Comic Sans MS" w:hAnsi="Comic Sans MS"/>
          <w:color w:val="000000" w:themeColor="text1"/>
          <w:sz w:val="24"/>
          <w:szCs w:val="24"/>
        </w:rPr>
      </w:pPr>
    </w:p>
    <w:p w:rsidR="00C17F76" w:rsidRPr="0041455D" w:rsidRDefault="00C17F76" w:rsidP="00C17F7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>Vous présenterez votre panneau en format paysage, une flèche des temps le traverse de part en part, de gauche à droite.</w:t>
      </w:r>
    </w:p>
    <w:p w:rsidR="00C17F76" w:rsidRPr="0041455D" w:rsidRDefault="00C17F76" w:rsidP="00C17F7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>Au-dessus de cette flèche, vous repèrerez l’apparition des « briques élémentaires » : des premières particules, jusqu’aux éléments chimiques les plus lourds.</w:t>
      </w:r>
    </w:p>
    <w:p w:rsidR="00C17F76" w:rsidRPr="0041455D" w:rsidRDefault="00C17F76" w:rsidP="00C17F7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En-dessous de la flèche, et en vis-à-vis de leur repère, vous représenterez les modèles de fusion des noyaux </w:t>
      </w:r>
      <w:r w:rsidR="00EC296A">
        <w:rPr>
          <w:rFonts w:ascii="Comic Sans MS" w:hAnsi="Comic Sans MS"/>
          <w:color w:val="000000" w:themeColor="text1"/>
          <w:sz w:val="24"/>
          <w:szCs w:val="24"/>
        </w:rPr>
        <w:t>d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>’hydrogène qui donne le noyau d’hélium et de la fusion de ce dernier avec le noyau de carbone qui donne le noyau d’oxygène. Une légende doit accompagner ces représentations.</w:t>
      </w:r>
    </w:p>
    <w:p w:rsidR="00C17F76" w:rsidRPr="0041455D" w:rsidRDefault="00C17F76" w:rsidP="00C17F7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En bas à gauche de votre panneau, vous </w:t>
      </w:r>
      <w:r w:rsidR="0041455D" w:rsidRPr="0041455D">
        <w:rPr>
          <w:rFonts w:ascii="Comic Sans MS" w:hAnsi="Comic Sans MS"/>
          <w:color w:val="000000" w:themeColor="text1"/>
          <w:sz w:val="24"/>
          <w:szCs w:val="24"/>
        </w:rPr>
        <w:t>collerez les 2 diagramme</w:t>
      </w:r>
      <w:r w:rsidR="00EC296A">
        <w:rPr>
          <w:rFonts w:ascii="Comic Sans MS" w:hAnsi="Comic Sans MS"/>
          <w:color w:val="000000" w:themeColor="text1"/>
          <w:sz w:val="24"/>
          <w:szCs w:val="24"/>
        </w:rPr>
        <w:t xml:space="preserve">s </w:t>
      </w:r>
      <w:r w:rsidR="0041455D" w:rsidRPr="0041455D">
        <w:rPr>
          <w:rFonts w:ascii="Comic Sans MS" w:hAnsi="Comic Sans MS"/>
          <w:color w:val="000000" w:themeColor="text1"/>
          <w:sz w:val="24"/>
          <w:szCs w:val="24"/>
        </w:rPr>
        <w:t xml:space="preserve">camembert représentants les abondances des éléments chimiques dans le corps humain et dans un champignon. Vous </w:t>
      </w: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ferez </w:t>
      </w:r>
      <w:r w:rsidR="0041455D" w:rsidRPr="0041455D">
        <w:rPr>
          <w:rFonts w:ascii="Comic Sans MS" w:hAnsi="Comic Sans MS"/>
          <w:color w:val="000000" w:themeColor="text1"/>
          <w:sz w:val="24"/>
          <w:szCs w:val="24"/>
        </w:rPr>
        <w:t>ces diagrammes sous Excel.</w:t>
      </w:r>
    </w:p>
    <w:tbl>
      <w:tblPr>
        <w:tblStyle w:val="Grilledutableau"/>
        <w:tblpPr w:leftFromText="141" w:rightFromText="141" w:vertAnchor="page" w:horzAnchor="margin" w:tblpY="9841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41455D" w:rsidTr="0041455D">
        <w:tc>
          <w:tcPr>
            <w:tcW w:w="1812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Respect de la forme du tableau, aéré, bien présenté, …</w:t>
            </w:r>
          </w:p>
        </w:tc>
        <w:tc>
          <w:tcPr>
            <w:tcW w:w="1812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Respect des savoir en lien avec le tableau.</w:t>
            </w:r>
          </w:p>
        </w:tc>
        <w:tc>
          <w:tcPr>
            <w:tcW w:w="1812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Respect de la production des diagrammes sous Excel.</w:t>
            </w:r>
          </w:p>
        </w:tc>
        <w:tc>
          <w:tcPr>
            <w:tcW w:w="1813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Respect de l’analyse de ces diagrammes à travers la citation.</w:t>
            </w:r>
          </w:p>
        </w:tc>
        <w:tc>
          <w:tcPr>
            <w:tcW w:w="1813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Note finale</w:t>
            </w:r>
          </w:p>
        </w:tc>
      </w:tr>
      <w:tr w:rsidR="0041455D" w:rsidTr="0041455D">
        <w:tc>
          <w:tcPr>
            <w:tcW w:w="1812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2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2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1455D">
              <w:rPr>
                <w:rFonts w:ascii="Comic Sans MS" w:hAnsi="Comic Sans MS"/>
                <w:sz w:val="24"/>
                <w:szCs w:val="24"/>
              </w:rPr>
              <w:t>…………/……….</w:t>
            </w:r>
          </w:p>
          <w:p w:rsidR="0041455D" w:rsidRPr="0041455D" w:rsidRDefault="0041455D" w:rsidP="0041455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1455D" w:rsidRPr="0041455D" w:rsidRDefault="0041455D" w:rsidP="00C17F76">
      <w:pPr>
        <w:pStyle w:val="Paragraphedeliste"/>
        <w:numPr>
          <w:ilvl w:val="0"/>
          <w:numId w:val="1"/>
        </w:numPr>
        <w:rPr>
          <w:rFonts w:ascii="Comic Sans MS" w:hAnsi="Comic Sans MS"/>
          <w:color w:val="000000" w:themeColor="text1"/>
          <w:sz w:val="24"/>
          <w:szCs w:val="24"/>
        </w:rPr>
      </w:pPr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Pour finir, à </w:t>
      </w:r>
      <w:r w:rsidR="00794D30">
        <w:rPr>
          <w:rFonts w:ascii="Comic Sans MS" w:hAnsi="Comic Sans MS"/>
          <w:color w:val="000000" w:themeColor="text1"/>
          <w:sz w:val="24"/>
          <w:szCs w:val="24"/>
        </w:rPr>
        <w:t xml:space="preserve">droite </w:t>
      </w:r>
      <w:bookmarkStart w:id="0" w:name="_GoBack"/>
      <w:bookmarkEnd w:id="0"/>
      <w:r w:rsidRPr="0041455D">
        <w:rPr>
          <w:rFonts w:ascii="Comic Sans MS" w:hAnsi="Comic Sans MS"/>
          <w:color w:val="000000" w:themeColor="text1"/>
          <w:sz w:val="24"/>
          <w:szCs w:val="24"/>
        </w:rPr>
        <w:t xml:space="preserve">des diagrammes, vous rédigerez une explication à la citation de </w:t>
      </w:r>
      <w:r w:rsidRPr="0041455D">
        <w:rPr>
          <w:rFonts w:ascii="Comic Sans MS" w:hAnsi="Comic Sans MS"/>
          <w:color w:val="000000" w:themeColor="text1"/>
          <w:spacing w:val="2"/>
          <w:sz w:val="24"/>
          <w:szCs w:val="24"/>
          <w:shd w:val="clear" w:color="auto" w:fill="FFFFFF"/>
        </w:rPr>
        <w:t>Trinh Xuan Thuan nous sommes ainsi les « frères des bêtes sauvages et les cousins des coquelicots des champs ».</w:t>
      </w:r>
    </w:p>
    <w:p w:rsidR="00804A25" w:rsidRDefault="00804A25"/>
    <w:sectPr w:rsidR="0080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417F8"/>
    <w:multiLevelType w:val="hybridMultilevel"/>
    <w:tmpl w:val="69381344"/>
    <w:lvl w:ilvl="0" w:tplc="9EC201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25"/>
    <w:rsid w:val="00162EFD"/>
    <w:rsid w:val="00345CAE"/>
    <w:rsid w:val="0041455D"/>
    <w:rsid w:val="006E5A6D"/>
    <w:rsid w:val="00794D30"/>
    <w:rsid w:val="00804A25"/>
    <w:rsid w:val="00C17F76"/>
    <w:rsid w:val="00EB0B38"/>
    <w:rsid w:val="00EC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092755"/>
  <w15:chartTrackingRefBased/>
  <w15:docId w15:val="{5D259904-E687-42F3-8CDF-C8A6C784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0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17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4</cp:revision>
  <dcterms:created xsi:type="dcterms:W3CDTF">2019-06-04T14:35:00Z</dcterms:created>
  <dcterms:modified xsi:type="dcterms:W3CDTF">2019-06-23T14:45:00Z</dcterms:modified>
</cp:coreProperties>
</file>