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F3B27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75F6394D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A555B1">
              <w:t xml:space="preserve"> </w:t>
            </w:r>
            <w:r w:rsidR="00A555B1" w:rsidRPr="00A555B1">
              <w:rPr>
                <w:rFonts w:ascii="Comic Sans MS" w:hAnsi="Comic Sans MS" w:cs="Arial"/>
                <w:sz w:val="24"/>
                <w:szCs w:val="24"/>
              </w:rPr>
              <w:t>Onde mécaniques</w:t>
            </w:r>
          </w:p>
          <w:p w14:paraId="2CD38A32" w14:textId="41D97E15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A555B1">
              <w:rPr>
                <w:rFonts w:ascii="Comic Sans MS" w:hAnsi="Comic Sans MS" w:cs="Arial"/>
                <w:sz w:val="24"/>
                <w:szCs w:val="24"/>
              </w:rPr>
              <w:t xml:space="preserve">3 / 3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A555B1">
              <w:rPr>
                <w:rFonts w:ascii="Comic Sans MS" w:hAnsi="Comic Sans MS" w:cs="Arial"/>
                <w:sz w:val="24"/>
                <w:szCs w:val="24"/>
              </w:rPr>
              <w:t xml:space="preserve"> Faire des vagues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6EE6FB1E" w14:textId="54661EE3" w:rsidR="00920638" w:rsidRDefault="00A555B1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F</w:t>
            </w:r>
            <w:r w:rsidRPr="00A555B1">
              <w:rPr>
                <w:rFonts w:ascii="Comic Sans MS" w:hAnsi="Comic Sans MS" w:cs="Arial"/>
                <w:sz w:val="24"/>
                <w:szCs w:val="24"/>
              </w:rPr>
              <w:t>réquence, période.</w:t>
            </w:r>
          </w:p>
          <w:p w14:paraId="2E3C948D" w14:textId="77777777"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01A06197" w14:textId="77777777" w:rsidR="00A555B1" w:rsidRPr="00A555B1" w:rsidRDefault="00A555B1" w:rsidP="00A555B1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555B1">
              <w:rPr>
                <w:rFonts w:ascii="Comic Sans MS" w:hAnsi="Comic Sans MS" w:cs="Arial"/>
                <w:sz w:val="24"/>
                <w:szCs w:val="24"/>
              </w:rPr>
              <w:t xml:space="preserve">Ondes mécaniques périodiques. Ondes sinusoïdales. </w:t>
            </w:r>
          </w:p>
          <w:p w14:paraId="571577C2" w14:textId="43F8B5A0" w:rsidR="00B41613" w:rsidRPr="009A1C74" w:rsidRDefault="00A555B1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555B1">
              <w:rPr>
                <w:rFonts w:ascii="Comic Sans MS" w:hAnsi="Comic Sans MS" w:cs="Arial"/>
                <w:sz w:val="24"/>
                <w:szCs w:val="24"/>
              </w:rPr>
              <w:t>Période. Longueur d'onde. Relation entre période, longueur d’onde et célérité.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4B218DB" w14:textId="77777777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EAF3432" w14:textId="77777777" w:rsidR="00A555B1" w:rsidRPr="00A555B1" w:rsidRDefault="00A555B1" w:rsidP="00A555B1">
            <w:pPr>
              <w:spacing w:after="0" w:line="239" w:lineRule="auto"/>
              <w:ind w:left="2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A555B1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Distinguer périodicité spatiale et périodicité temporelle. Justifier et exploiter la relation entre période, longueur d'onde et célérité. </w:t>
            </w:r>
          </w:p>
          <w:p w14:paraId="02724DEA" w14:textId="77777777" w:rsidR="00A555B1" w:rsidRPr="00A555B1" w:rsidRDefault="00A555B1" w:rsidP="00A555B1">
            <w:pPr>
              <w:spacing w:after="0" w:line="239" w:lineRule="auto"/>
              <w:ind w:left="2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A555B1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Déterminer les caractéristiques d'une onde mécanique périodique à partir de représentations spatiales ou temporelles. </w:t>
            </w:r>
          </w:p>
          <w:p w14:paraId="7623C520" w14:textId="77777777" w:rsidR="00A555B1" w:rsidRPr="00A555B1" w:rsidRDefault="00A555B1" w:rsidP="00A555B1">
            <w:pPr>
              <w:spacing w:after="0"/>
              <w:ind w:left="2"/>
              <w:rPr>
                <w:rFonts w:ascii="Comic Sans MS" w:eastAsia="Arial" w:hAnsi="Comic Sans MS" w:cs="Arial"/>
                <w:color w:val="262626" w:themeColor="text1" w:themeTint="D9"/>
                <w:sz w:val="24"/>
                <w:szCs w:val="24"/>
                <w:lang w:eastAsia="fr-FR"/>
              </w:rPr>
            </w:pPr>
            <w:r w:rsidRPr="00A555B1">
              <w:rPr>
                <w:rFonts w:ascii="Comic Sans MS" w:eastAsia="Arial" w:hAnsi="Comic Sans MS" w:cs="Arial"/>
                <w:i/>
                <w:color w:val="262626" w:themeColor="text1" w:themeTint="D9"/>
                <w:sz w:val="24"/>
                <w:szCs w:val="24"/>
                <w:lang w:eastAsia="fr-FR"/>
              </w:rPr>
              <w:t xml:space="preserve">Déterminer la période, la longueur d'onde et la célérité d'une onde progressive sinusoïdale à l'aide d'une chaîne de mesure. </w:t>
            </w:r>
          </w:p>
          <w:p w14:paraId="365B2729" w14:textId="2BB3589E" w:rsidR="00A555B1" w:rsidRPr="00A555B1" w:rsidRDefault="00A555B1" w:rsidP="00A555B1">
            <w:pPr>
              <w:spacing w:after="0"/>
              <w:ind w:left="2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A555B1">
              <w:rPr>
                <w:rFonts w:ascii="Comic Sans MS" w:eastAsia="Arial" w:hAnsi="Comic Sans MS" w:cs="Arial"/>
                <w:b/>
                <w:color w:val="000000"/>
                <w:sz w:val="24"/>
                <w:szCs w:val="24"/>
                <w:lang w:eastAsia="fr-FR"/>
              </w:rPr>
              <w:t>Capacités numériques</w:t>
            </w:r>
            <w:r w:rsidRPr="00A555B1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 : Représenter un signal périodique et illustrer l’influence de ses caractéristiques (période, amplitude) sur sa représentation. Simuler à l’aide d’un langage de programmation, la propagation d’une onde périodique. </w:t>
            </w:r>
          </w:p>
          <w:p w14:paraId="057F9348" w14:textId="61FA1BDF" w:rsidR="00920638" w:rsidRPr="009A1C74" w:rsidRDefault="00A555B1" w:rsidP="00A555B1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555B1">
              <w:rPr>
                <w:rFonts w:ascii="Comic Sans MS" w:eastAsia="Arial" w:hAnsi="Comic Sans MS" w:cs="Arial"/>
                <w:b/>
                <w:color w:val="000000"/>
                <w:sz w:val="24"/>
                <w:szCs w:val="24"/>
                <w:lang w:eastAsia="fr-FR"/>
              </w:rPr>
              <w:t>Capacité mathématique</w:t>
            </w:r>
            <w:r w:rsidRPr="00A555B1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 : Utiliser les représentations graphiques des fonctions sinus et cosinus</w:t>
            </w:r>
            <w:r w:rsidRPr="00A555B1">
              <w:rPr>
                <w:rFonts w:ascii="Comic Sans MS" w:eastAsia="Arial" w:hAnsi="Comic Sans MS" w:cs="Arial"/>
                <w:i/>
                <w:color w:val="000000"/>
                <w:sz w:val="24"/>
                <w:szCs w:val="24"/>
                <w:lang w:eastAsia="fr-FR"/>
              </w:rPr>
              <w:t>.</w:t>
            </w:r>
          </w:p>
        </w:tc>
      </w:tr>
      <w:tr w:rsidR="00721E16" w:rsidRPr="009A1C74" w14:paraId="63D106AA" w14:textId="77777777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61EFBF8E" w14:textId="77777777" w:rsidR="00721E16" w:rsidRPr="00A555B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A555B1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14:paraId="45949B81" w14:textId="77777777"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vAlign w:val="center"/>
          </w:tcPr>
          <w:p w14:paraId="711E736F" w14:textId="77777777"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83F65C8" w14:textId="77777777"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73307841" w14:textId="77777777"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14:paraId="25824436" w14:textId="77777777"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117F82FE" w14:textId="77777777" w:rsidR="00721E16" w:rsidRPr="00A555B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A555B1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14:paraId="553DC19D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4F99108" w14:textId="77777777"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3D39787B" w14:textId="77777777"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14:paraId="60CFD55B" w14:textId="77777777"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2038F9A0" w14:textId="77777777"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F3B27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0CACA002" w14:textId="77777777"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14:paraId="55832C1D" w14:textId="77777777"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F3B27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24404800" w14:textId="77777777"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A274CDA" w14:textId="057BF32D"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FF3B27">
              <w:rPr>
                <w:rFonts w:ascii="Comic Sans MS" w:hAnsi="Comic Sans MS" w:cs="Arial"/>
                <w:sz w:val="24"/>
                <w:szCs w:val="24"/>
              </w:rPr>
              <w:t>Cuve à onde.</w:t>
            </w:r>
          </w:p>
          <w:p w14:paraId="6242836B" w14:textId="77777777"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15A6FAC0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FF3B27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7FE5F5B8" w:rsidR="009F6951" w:rsidRPr="009A1C74" w:rsidRDefault="00FF3B27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de découverte contextualisée par l’usage d’une cuve à onde pour fixer dans la réalité sensible les grandeurs d’intérêt quant aux ondes progressives.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14:paraId="604DCD59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FB6BB1E" w14:textId="158A9D99" w:rsidR="00920638" w:rsidRPr="00FF3B27" w:rsidRDefault="00FF3B27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B04AB"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6FEC02F1" w14:textId="581B52B0" w:rsidR="0057017D" w:rsidRPr="00FF3B27" w:rsidRDefault="00FF3B27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F3B27">
              <w:rPr>
                <w:rFonts w:ascii="Comic Sans MS" w:hAnsi="Comic Sans MS" w:cs="Arial"/>
                <w:sz w:val="16"/>
                <w:szCs w:val="16"/>
              </w:rPr>
              <w:t>Donne les consignes. 15’ pour prendre des notes individuellement. Puis retour en groupe et mise en commun pour la création d’une carte mentale qui sera présentée au tableau.</w:t>
            </w:r>
          </w:p>
        </w:tc>
        <w:tc>
          <w:tcPr>
            <w:tcW w:w="5330" w:type="dxa"/>
            <w:gridSpan w:val="11"/>
            <w:vAlign w:val="center"/>
          </w:tcPr>
          <w:p w14:paraId="4C39CBD7" w14:textId="666E980E" w:rsidR="00920638" w:rsidRPr="005B04AB" w:rsidRDefault="00FF3B27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5B04AB">
              <w:rPr>
                <w:rFonts w:ascii="Comic Sans MS" w:hAnsi="Comic Sans MS" w:cs="Arial"/>
                <w:i/>
                <w:iCs/>
                <w:sz w:val="16"/>
                <w:szCs w:val="16"/>
              </w:rPr>
              <w:t>Les élèves se déplacent avec leur bloc-notes.</w:t>
            </w:r>
          </w:p>
        </w:tc>
      </w:tr>
      <w:tr w:rsidR="00CC318D" w:rsidRPr="009A1C74" w14:paraId="1804E08F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3CBABCC" w14:textId="779C6ADB" w:rsidR="00CC318D" w:rsidRPr="009A1C74" w:rsidRDefault="00FF3B2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14:paraId="578A6A21" w14:textId="249E659D" w:rsidR="00CC318D" w:rsidRPr="009A1C74" w:rsidRDefault="00FF3B2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F3B27">
              <w:rPr>
                <w:rFonts w:ascii="Comic Sans MS" w:hAnsi="Comic Sans MS" w:cs="Arial"/>
                <w:sz w:val="16"/>
                <w:szCs w:val="16"/>
              </w:rPr>
              <w:t>Explique le principe de fonctionnement. Fait apparaître dans l’ordre les mots et définitions : onde progressive, périodique, sinusoïdale. Mesure au chronomètre de la durée de dix périodes, en déduit T, puis f et compare au curseur.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Fixer l’image au st</w:t>
            </w:r>
            <w:r w:rsidR="005B04AB">
              <w:rPr>
                <w:rFonts w:ascii="Comic Sans MS" w:hAnsi="Comic Sans MS" w:cs="Arial"/>
                <w:sz w:val="16"/>
                <w:szCs w:val="16"/>
              </w:rPr>
              <w:t>r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oboscope, </w:t>
            </w:r>
            <w:r w:rsidR="005B04AB">
              <w:rPr>
                <w:rFonts w:ascii="Comic Sans MS" w:hAnsi="Comic Sans MS" w:cs="Arial"/>
                <w:sz w:val="16"/>
                <w:szCs w:val="16"/>
              </w:rPr>
              <w:t>mesurer λ puis chercher une relation pour avoir la célérité.</w:t>
            </w:r>
          </w:p>
        </w:tc>
        <w:tc>
          <w:tcPr>
            <w:tcW w:w="5330" w:type="dxa"/>
            <w:gridSpan w:val="11"/>
            <w:vAlign w:val="center"/>
          </w:tcPr>
          <w:p w14:paraId="74165697" w14:textId="2FC5D016" w:rsidR="00CC318D" w:rsidRPr="005B04AB" w:rsidRDefault="005B04AB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5B04AB">
              <w:rPr>
                <w:rFonts w:ascii="Comic Sans MS" w:hAnsi="Comic Sans MS" w:cs="Arial"/>
                <w:i/>
                <w:iCs/>
                <w:sz w:val="16"/>
                <w:szCs w:val="16"/>
              </w:rPr>
              <w:t>Ils prennent des notes, sont bien concentrés.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11CDB32C" w:rsidR="00CC318D" w:rsidRPr="009A1C74" w:rsidRDefault="00FF3B2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1F09E856" w14:textId="77777777"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5A22FCD6" w14:textId="77777777"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0B4A9688" w14:textId="77777777"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477D8B64" w14:textId="570AF77B" w:rsidR="00CC318D" w:rsidRPr="005B04AB" w:rsidRDefault="005B04AB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5B04AB">
              <w:rPr>
                <w:rFonts w:ascii="Comic Sans MS" w:hAnsi="Comic Sans MS" w:cs="Arial"/>
                <w:i/>
                <w:iCs/>
                <w:sz w:val="16"/>
                <w:szCs w:val="16"/>
              </w:rPr>
              <w:t>Mettent en commun leurs notes et produisent leur carte mentale.</w:t>
            </w:r>
          </w:p>
        </w:tc>
      </w:tr>
      <w:tr w:rsidR="00920638" w:rsidRPr="009A1C74" w14:paraId="48716BA2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19FA5D41" w14:textId="2C8EDEF4" w:rsidR="00920638" w:rsidRPr="009A1C74" w:rsidRDefault="00FF3B2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3424C597" w14:textId="77777777" w:rsidR="0057017D" w:rsidRPr="005B04AB" w:rsidRDefault="0057017D" w:rsidP="00CC318D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01BCF0E0" w14:textId="2FD5F3B0" w:rsidR="00920638" w:rsidRPr="005B04AB" w:rsidRDefault="005B04AB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5B04AB">
              <w:rPr>
                <w:rFonts w:ascii="Comic Sans MS" w:hAnsi="Comic Sans MS" w:cs="Arial"/>
                <w:i/>
                <w:iCs/>
                <w:sz w:val="16"/>
                <w:szCs w:val="16"/>
              </w:rPr>
              <w:t>Passage au tableau pour la présenter à la liseuse.</w:t>
            </w:r>
          </w:p>
        </w:tc>
      </w:tr>
      <w:tr w:rsidR="0057017D" w:rsidRPr="009A1C74" w14:paraId="2B0484F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423B10C7" w14:textId="16390951" w:rsidR="0057017D" w:rsidRPr="009A1C74" w:rsidRDefault="005B04A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6EFF747D" w14:textId="55F4927B" w:rsidR="0057017D" w:rsidRPr="005B04AB" w:rsidRDefault="005B04AB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B04AB">
              <w:rPr>
                <w:rFonts w:ascii="Comic Sans MS" w:hAnsi="Comic Sans MS" w:cs="Arial"/>
                <w:sz w:val="16"/>
                <w:szCs w:val="16"/>
              </w:rPr>
              <w:t>Présente à nouveau FreeMind et indique qu’à partir d’aujourd’hui il faudra à ton de rôle l’utiliser pour un travail collaboratif.</w:t>
            </w:r>
          </w:p>
        </w:tc>
        <w:tc>
          <w:tcPr>
            <w:tcW w:w="5330" w:type="dxa"/>
            <w:gridSpan w:val="11"/>
            <w:vAlign w:val="center"/>
          </w:tcPr>
          <w:p w14:paraId="5924C337" w14:textId="77777777"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14:paraId="7261ECB8" w14:textId="77777777"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14:paraId="31C34395" w14:textId="77777777"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1C94E368" w:rsidR="00DD0E7F" w:rsidRPr="005B04AB" w:rsidRDefault="005B04A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La carte produite en cours.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4A5DDF6D" w:rsidR="008C5B80" w:rsidRPr="009A1C74" w:rsidRDefault="005F0C9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Résolution de problème N° 35 p 313</w:t>
            </w:r>
          </w:p>
        </w:tc>
        <w:tc>
          <w:tcPr>
            <w:tcW w:w="2621" w:type="dxa"/>
            <w:gridSpan w:val="6"/>
            <w:vAlign w:val="center"/>
          </w:tcPr>
          <w:p w14:paraId="469B38CF" w14:textId="0E51446C" w:rsidR="008C5B80" w:rsidRDefault="00F36CB7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22 et 23 p 309</w:t>
            </w:r>
          </w:p>
          <w:p w14:paraId="4452D89E" w14:textId="6EE44796" w:rsidR="00F36CB7" w:rsidRPr="009A1C74" w:rsidRDefault="00F36CB7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53DC8575" w:rsidR="00845EBC" w:rsidRPr="009A1C74" w:rsidRDefault="000438B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Trouver moyen d’intégrer capacité numérique et pour l’exercice 22 faire l’expérience en classe.</w:t>
            </w:r>
            <w:bookmarkStart w:id="0" w:name="_GoBack"/>
            <w:bookmarkEnd w:id="0"/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438B3"/>
    <w:rsid w:val="000F353E"/>
    <w:rsid w:val="00135F5C"/>
    <w:rsid w:val="00140BA4"/>
    <w:rsid w:val="00162EFD"/>
    <w:rsid w:val="00207B13"/>
    <w:rsid w:val="002458AC"/>
    <w:rsid w:val="00340287"/>
    <w:rsid w:val="00345CAE"/>
    <w:rsid w:val="003A63CD"/>
    <w:rsid w:val="003C3E20"/>
    <w:rsid w:val="00491F5B"/>
    <w:rsid w:val="004E7D42"/>
    <w:rsid w:val="0057017D"/>
    <w:rsid w:val="005B04AB"/>
    <w:rsid w:val="005F0C9E"/>
    <w:rsid w:val="006412D9"/>
    <w:rsid w:val="006D2640"/>
    <w:rsid w:val="006E5A6D"/>
    <w:rsid w:val="00721E16"/>
    <w:rsid w:val="00845EBC"/>
    <w:rsid w:val="0088054C"/>
    <w:rsid w:val="008C5B80"/>
    <w:rsid w:val="008F79F8"/>
    <w:rsid w:val="00920638"/>
    <w:rsid w:val="009A1C74"/>
    <w:rsid w:val="009E74AC"/>
    <w:rsid w:val="009F6951"/>
    <w:rsid w:val="00A555B1"/>
    <w:rsid w:val="00B23728"/>
    <w:rsid w:val="00B41613"/>
    <w:rsid w:val="00CC318D"/>
    <w:rsid w:val="00DD0E7F"/>
    <w:rsid w:val="00EB0B38"/>
    <w:rsid w:val="00F36CB7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1B50-9CD4-467E-AAF3-FF7F3D2A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8</cp:revision>
  <cp:lastPrinted>2019-05-05T08:49:00Z</cp:lastPrinted>
  <dcterms:created xsi:type="dcterms:W3CDTF">2019-05-05T08:48:00Z</dcterms:created>
  <dcterms:modified xsi:type="dcterms:W3CDTF">2019-08-01T08:47:00Z</dcterms:modified>
</cp:coreProperties>
</file>