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E9D" w:rsidRDefault="00871E9D" w:rsidP="00871E9D">
      <w:pPr>
        <w:rPr>
          <w:rFonts w:ascii="Comic Sans MS" w:hAnsi="Comic Sans MS"/>
          <w:color w:val="000000" w:themeColor="text1"/>
          <w:sz w:val="24"/>
          <w:szCs w:val="24"/>
        </w:rPr>
      </w:pPr>
      <w:r w:rsidRPr="0041455D">
        <w:rPr>
          <w:rFonts w:ascii="Comic Sans MS" w:hAnsi="Comic Sans MS"/>
          <w:color w:val="000000" w:themeColor="text1"/>
          <w:sz w:val="24"/>
          <w:szCs w:val="24"/>
        </w:rPr>
        <w:t xml:space="preserve">A partir des documents 1 à </w:t>
      </w:r>
      <w:r w:rsidR="00D95FE6">
        <w:rPr>
          <w:rFonts w:ascii="Comic Sans MS" w:hAnsi="Comic Sans MS"/>
          <w:color w:val="000000" w:themeColor="text1"/>
          <w:sz w:val="24"/>
          <w:szCs w:val="24"/>
        </w:rPr>
        <w:t>4</w:t>
      </w:r>
      <w:r w:rsidRPr="0041455D">
        <w:rPr>
          <w:rFonts w:ascii="Comic Sans MS" w:hAnsi="Comic Sans MS"/>
          <w:color w:val="000000" w:themeColor="text1"/>
          <w:sz w:val="24"/>
          <w:szCs w:val="24"/>
        </w:rPr>
        <w:t xml:space="preserve"> p </w:t>
      </w:r>
      <w:r w:rsidR="00D95FE6">
        <w:rPr>
          <w:rFonts w:ascii="Comic Sans MS" w:hAnsi="Comic Sans MS"/>
          <w:color w:val="000000" w:themeColor="text1"/>
          <w:sz w:val="24"/>
          <w:szCs w:val="24"/>
        </w:rPr>
        <w:t>166</w:t>
      </w:r>
      <w:r w:rsidRPr="0041455D">
        <w:rPr>
          <w:rFonts w:ascii="Comic Sans MS" w:hAnsi="Comic Sans MS"/>
          <w:color w:val="000000" w:themeColor="text1"/>
          <w:sz w:val="24"/>
          <w:szCs w:val="24"/>
        </w:rPr>
        <w:t xml:space="preserve"> et </w:t>
      </w:r>
      <w:r w:rsidR="00D95FE6">
        <w:rPr>
          <w:rFonts w:ascii="Comic Sans MS" w:hAnsi="Comic Sans MS"/>
          <w:color w:val="000000" w:themeColor="text1"/>
          <w:sz w:val="24"/>
          <w:szCs w:val="24"/>
        </w:rPr>
        <w:t>167</w:t>
      </w:r>
      <w:r w:rsidRPr="0041455D">
        <w:rPr>
          <w:rFonts w:ascii="Comic Sans MS" w:hAnsi="Comic Sans MS"/>
          <w:color w:val="000000" w:themeColor="text1"/>
          <w:sz w:val="24"/>
          <w:szCs w:val="24"/>
        </w:rPr>
        <w:t xml:space="preserve"> de votre manuel, </w:t>
      </w:r>
      <w:r w:rsidR="00D95FE6">
        <w:rPr>
          <w:rFonts w:ascii="Comic Sans MS" w:hAnsi="Comic Sans MS"/>
          <w:color w:val="000000" w:themeColor="text1"/>
          <w:sz w:val="24"/>
          <w:szCs w:val="24"/>
        </w:rPr>
        <w:t xml:space="preserve">ainsi que de l’intervention de votre professeur quant aux mouvements de Mars et aux observations de Vénus, et avec l’appui d’internet, </w:t>
      </w:r>
      <w:r w:rsidRPr="0041455D">
        <w:rPr>
          <w:rFonts w:ascii="Comic Sans MS" w:hAnsi="Comic Sans MS"/>
          <w:color w:val="000000" w:themeColor="text1"/>
          <w:sz w:val="24"/>
          <w:szCs w:val="24"/>
        </w:rPr>
        <w:t>vous devez réaliser par groupe de trois un panneau en format A3 respectant les critères de réussites suivants.</w:t>
      </w:r>
    </w:p>
    <w:p w:rsidR="00871E9D" w:rsidRPr="0041455D" w:rsidRDefault="00871E9D" w:rsidP="00871E9D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871E9D" w:rsidRPr="0041455D" w:rsidRDefault="00871E9D" w:rsidP="00871E9D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41455D">
        <w:rPr>
          <w:rFonts w:ascii="Comic Sans MS" w:hAnsi="Comic Sans MS"/>
          <w:color w:val="000000" w:themeColor="text1"/>
          <w:sz w:val="24"/>
          <w:szCs w:val="24"/>
        </w:rPr>
        <w:t>Vous présenterez votre panneau en format paysage, une flèche des temps le traverse de part en part, de gauche à droite.</w:t>
      </w:r>
    </w:p>
    <w:p w:rsidR="00871E9D" w:rsidRPr="0041455D" w:rsidRDefault="00871E9D" w:rsidP="00871E9D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41455D">
        <w:rPr>
          <w:rFonts w:ascii="Comic Sans MS" w:hAnsi="Comic Sans MS"/>
          <w:color w:val="000000" w:themeColor="text1"/>
          <w:sz w:val="24"/>
          <w:szCs w:val="24"/>
        </w:rPr>
        <w:t>Au-dessus de cette flèche, vous repèrerez l</w:t>
      </w:r>
      <w:r w:rsidR="00D95FE6">
        <w:rPr>
          <w:rFonts w:ascii="Comic Sans MS" w:hAnsi="Comic Sans MS"/>
          <w:color w:val="000000" w:themeColor="text1"/>
          <w:sz w:val="24"/>
          <w:szCs w:val="24"/>
        </w:rPr>
        <w:t>es noms des acteurs majeurs.</w:t>
      </w:r>
    </w:p>
    <w:p w:rsidR="00871E9D" w:rsidRPr="0041455D" w:rsidRDefault="00871E9D" w:rsidP="00871E9D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41455D">
        <w:rPr>
          <w:rFonts w:ascii="Comic Sans MS" w:hAnsi="Comic Sans MS"/>
          <w:color w:val="000000" w:themeColor="text1"/>
          <w:sz w:val="24"/>
          <w:szCs w:val="24"/>
        </w:rPr>
        <w:t xml:space="preserve">En-dessous de la flèche, et en vis-à-vis de leur repère, vous représenterez les </w:t>
      </w:r>
      <w:r w:rsidR="00D95FE6">
        <w:rPr>
          <w:rFonts w:ascii="Comic Sans MS" w:hAnsi="Comic Sans MS"/>
          <w:color w:val="000000" w:themeColor="text1"/>
          <w:sz w:val="24"/>
          <w:szCs w:val="24"/>
        </w:rPr>
        <w:t>arguments historiques avancés en faveur de l’un ou l’autre des deux systèmes.</w:t>
      </w:r>
    </w:p>
    <w:p w:rsidR="00871E9D" w:rsidRPr="0041455D" w:rsidRDefault="00871E9D" w:rsidP="00871E9D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41455D">
        <w:rPr>
          <w:rFonts w:ascii="Comic Sans MS" w:hAnsi="Comic Sans MS"/>
          <w:color w:val="000000" w:themeColor="text1"/>
          <w:sz w:val="24"/>
          <w:szCs w:val="24"/>
        </w:rPr>
        <w:t xml:space="preserve">En bas à gauche de votre panneau, vous </w:t>
      </w:r>
      <w:r w:rsidR="00D95FE6">
        <w:rPr>
          <w:rFonts w:ascii="Comic Sans MS" w:hAnsi="Comic Sans MS"/>
          <w:color w:val="000000" w:themeColor="text1"/>
          <w:sz w:val="24"/>
          <w:szCs w:val="24"/>
        </w:rPr>
        <w:t>dessinerez les deux modèles dont il est question.</w:t>
      </w:r>
    </w:p>
    <w:tbl>
      <w:tblPr>
        <w:tblStyle w:val="Grilledutableau"/>
        <w:tblpPr w:leftFromText="141" w:rightFromText="141" w:vertAnchor="page" w:horzAnchor="margin" w:tblpY="9841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71E9D" w:rsidTr="005F4C2F">
        <w:tc>
          <w:tcPr>
            <w:tcW w:w="1812" w:type="dxa"/>
          </w:tcPr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Respect de la forme du tableau, aéré, bien présenté, …</w:t>
            </w:r>
          </w:p>
        </w:tc>
        <w:tc>
          <w:tcPr>
            <w:tcW w:w="1812" w:type="dxa"/>
          </w:tcPr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 xml:space="preserve">Respect des </w:t>
            </w:r>
            <w:r w:rsidR="00364D77">
              <w:rPr>
                <w:rFonts w:ascii="Comic Sans MS" w:hAnsi="Comic Sans MS"/>
                <w:sz w:val="24"/>
                <w:szCs w:val="24"/>
              </w:rPr>
              <w:t>arguments historiques.</w:t>
            </w:r>
          </w:p>
        </w:tc>
        <w:tc>
          <w:tcPr>
            <w:tcW w:w="1812" w:type="dxa"/>
          </w:tcPr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 xml:space="preserve">Respect de la production des </w:t>
            </w:r>
            <w:r w:rsidR="00364D77">
              <w:rPr>
                <w:rFonts w:ascii="Comic Sans MS" w:hAnsi="Comic Sans MS"/>
                <w:sz w:val="24"/>
                <w:szCs w:val="24"/>
              </w:rPr>
              <w:t>modèles.</w:t>
            </w:r>
          </w:p>
        </w:tc>
        <w:tc>
          <w:tcPr>
            <w:tcW w:w="1813" w:type="dxa"/>
          </w:tcPr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 xml:space="preserve">Respect de l’analyse de </w:t>
            </w:r>
            <w:r w:rsidR="00364D77">
              <w:rPr>
                <w:rFonts w:ascii="Comic Sans MS" w:hAnsi="Comic Sans MS"/>
                <w:sz w:val="24"/>
                <w:szCs w:val="24"/>
              </w:rPr>
              <w:t>cette controverse.</w:t>
            </w:r>
            <w:bookmarkStart w:id="0" w:name="_GoBack"/>
            <w:bookmarkEnd w:id="0"/>
          </w:p>
        </w:tc>
        <w:tc>
          <w:tcPr>
            <w:tcW w:w="1813" w:type="dxa"/>
          </w:tcPr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Note finale</w:t>
            </w:r>
          </w:p>
        </w:tc>
      </w:tr>
      <w:tr w:rsidR="00871E9D" w:rsidTr="005F4C2F">
        <w:tc>
          <w:tcPr>
            <w:tcW w:w="1812" w:type="dxa"/>
          </w:tcPr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…………/……….</w:t>
            </w:r>
          </w:p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…………/……….</w:t>
            </w:r>
          </w:p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…………/……….</w:t>
            </w:r>
          </w:p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13" w:type="dxa"/>
          </w:tcPr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…………/……….</w:t>
            </w:r>
          </w:p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13" w:type="dxa"/>
          </w:tcPr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…………/……….</w:t>
            </w:r>
          </w:p>
          <w:p w:rsidR="00871E9D" w:rsidRPr="0041455D" w:rsidRDefault="00871E9D" w:rsidP="005F4C2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71E9D" w:rsidRPr="0041455D" w:rsidRDefault="00871E9D" w:rsidP="00871E9D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41455D">
        <w:rPr>
          <w:rFonts w:ascii="Comic Sans MS" w:hAnsi="Comic Sans MS"/>
          <w:color w:val="000000" w:themeColor="text1"/>
          <w:sz w:val="24"/>
          <w:szCs w:val="24"/>
        </w:rPr>
        <w:t xml:space="preserve">Pour finir, à </w:t>
      </w:r>
      <w:r w:rsidR="00D95FE6">
        <w:rPr>
          <w:rFonts w:ascii="Comic Sans MS" w:hAnsi="Comic Sans MS"/>
          <w:color w:val="000000" w:themeColor="text1"/>
          <w:sz w:val="24"/>
          <w:szCs w:val="24"/>
        </w:rPr>
        <w:t xml:space="preserve">droite </w:t>
      </w:r>
      <w:r w:rsidR="00364D77">
        <w:rPr>
          <w:rFonts w:ascii="Comic Sans MS" w:hAnsi="Comic Sans MS"/>
          <w:color w:val="000000" w:themeColor="text1"/>
          <w:sz w:val="24"/>
          <w:szCs w:val="24"/>
        </w:rPr>
        <w:t>pour rédigerez un court exposé présentant les rôles de la théologie et de l’astronomie, et expliquant pourquoi cette controverse majeure de l’Histoire c’est produite.</w:t>
      </w:r>
    </w:p>
    <w:p w:rsidR="00162EFD" w:rsidRDefault="00162EFD"/>
    <w:sectPr w:rsidR="00162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417F8"/>
    <w:multiLevelType w:val="hybridMultilevel"/>
    <w:tmpl w:val="69381344"/>
    <w:lvl w:ilvl="0" w:tplc="9EC20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9D"/>
    <w:rsid w:val="00162EFD"/>
    <w:rsid w:val="00345CAE"/>
    <w:rsid w:val="00364D77"/>
    <w:rsid w:val="006E5A6D"/>
    <w:rsid w:val="00871E9D"/>
    <w:rsid w:val="00D95FE6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0083E"/>
  <w15:chartTrackingRefBased/>
  <w15:docId w15:val="{36914141-B253-4A8C-A538-D6D909F6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E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7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1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2019-06-23T14:38:00Z</dcterms:created>
  <dcterms:modified xsi:type="dcterms:W3CDTF">2019-06-23T14:54:00Z</dcterms:modified>
</cp:coreProperties>
</file>