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161" w:rsidRDefault="00817161" w:rsidP="00817161">
      <w:pPr>
        <w:shd w:val="clear" w:color="auto" w:fill="FBFBFB"/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DC54" wp14:editId="45DF5C34">
                <wp:simplePos x="0" y="0"/>
                <wp:positionH relativeFrom="column">
                  <wp:posOffset>985961</wp:posOffset>
                </wp:positionH>
                <wp:positionV relativeFrom="paragraph">
                  <wp:posOffset>331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7161" w:rsidRPr="00817161" w:rsidRDefault="00817161" w:rsidP="00817161">
                            <w:pPr>
                              <w:shd w:val="clear" w:color="auto" w:fill="FBFBFB"/>
                              <w:tabs>
                                <w:tab w:val="num" w:pos="720"/>
                              </w:tabs>
                              <w:spacing w:before="100" w:beforeAutospacing="1" w:after="100" w:afterAutospacing="1"/>
                              <w:ind w:hanging="36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17161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Les mod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Pr="00817161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lisateurs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6DC5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7.65pt;margin-top: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" filled="f" stroked="f">
                <v:fill o:detectmouseclick="t"/>
                <v:textbox style="mso-fit-shape-to-text:t">
                  <w:txbxContent>
                    <w:p w:rsidR="00817161" w:rsidRPr="00817161" w:rsidRDefault="00817161" w:rsidP="00817161">
                      <w:pPr>
                        <w:shd w:val="clear" w:color="auto" w:fill="FBFBFB"/>
                        <w:tabs>
                          <w:tab w:val="num" w:pos="720"/>
                        </w:tabs>
                        <w:spacing w:before="100" w:beforeAutospacing="1" w:after="100" w:afterAutospacing="1"/>
                        <w:ind w:hanging="360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17161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Les mod</w:t>
                      </w: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</w:t>
                      </w:r>
                      <w:r w:rsidRPr="00817161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lisateurs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7161" w:rsidRDefault="00817161" w:rsidP="00817161">
      <w:pPr>
        <w:shd w:val="clear" w:color="auto" w:fill="FBFBFB"/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bookmarkStart w:id="0" w:name="_GoBack"/>
      <w:bookmarkEnd w:id="0"/>
    </w:p>
    <w:p w:rsidR="00817161" w:rsidRDefault="00817161" w:rsidP="00817161">
      <w:pPr>
        <w:shd w:val="clear" w:color="auto" w:fill="FBFBFB"/>
        <w:spacing w:before="100" w:beforeAutospacing="1" w:after="100" w:afterAutospacing="1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</w:p>
    <w:p w:rsidR="00817161" w:rsidRPr="00817161" w:rsidRDefault="00817161" w:rsidP="00817161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Ce que l’on appelle </w:t>
      </w:r>
      <w:r w:rsidRPr="00817161">
        <w:rPr>
          <w:rFonts w:ascii="Helvetica Neue" w:eastAsia="Times New Roman" w:hAnsi="Helvetica Neue" w:cs="Times New Roman"/>
          <w:color w:val="FF0000"/>
          <w:sz w:val="27"/>
          <w:szCs w:val="27"/>
          <w:lang w:eastAsia="fr-FR"/>
        </w:rPr>
        <w:t xml:space="preserve">« modalisation » 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désigne la façon dont un locuteur dévoile son opinion dans ses propos à travers des mots ou des procédés d’écriture. Ces derniers sont ce qu’on appelle des « modalisateurs » : on les utilise pour nuancer son propos. </w:t>
      </w:r>
    </w:p>
    <w:p w:rsidR="00817161" w:rsidRPr="00817161" w:rsidRDefault="00817161" w:rsidP="00817161">
      <w:pPr>
        <w:numPr>
          <w:ilvl w:val="0"/>
          <w:numId w:val="2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On peut employer :</w:t>
      </w:r>
    </w:p>
    <w:p w:rsidR="00817161" w:rsidRPr="00817161" w:rsidRDefault="00817161" w:rsidP="00817161">
      <w:pPr>
        <w:numPr>
          <w:ilvl w:val="1"/>
          <w:numId w:val="2"/>
        </w:numPr>
        <w:shd w:val="clear" w:color="auto" w:fill="FBFBFB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adverbes tels 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peut-être, vraisemblablement, apparemment, probablement, certainement,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 etc. qui expriment l’incertitude ;</w:t>
      </w:r>
    </w:p>
    <w:p w:rsidR="00817161" w:rsidRPr="00817161" w:rsidRDefault="00817161" w:rsidP="00817161">
      <w:pPr>
        <w:numPr>
          <w:ilvl w:val="1"/>
          <w:numId w:val="2"/>
        </w:numPr>
        <w:shd w:val="clear" w:color="auto" w:fill="FBFBFB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verbes d’états comme 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sembler, avoir l’air, paraître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, etc. ;</w:t>
      </w:r>
    </w:p>
    <w:p w:rsidR="00817161" w:rsidRPr="00817161" w:rsidRDefault="00817161" w:rsidP="00817161">
      <w:pPr>
        <w:numPr>
          <w:ilvl w:val="1"/>
          <w:numId w:val="2"/>
        </w:numPr>
        <w:shd w:val="clear" w:color="auto" w:fill="FBFBFB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verbes exprimant le doute : 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avoir l’impression, penser, estimer, ne pas être sûr, croire, craindre, soupçonner, se demander, douter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, etc.</w:t>
      </w:r>
    </w:p>
    <w:p w:rsidR="00817161" w:rsidRPr="00817161" w:rsidRDefault="00817161" w:rsidP="00817161">
      <w:pPr>
        <w:numPr>
          <w:ilvl w:val="0"/>
          <w:numId w:val="3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Mais la modalisation peut aussi porter sur un élément de la phrase :</w:t>
      </w:r>
    </w:p>
    <w:p w:rsidR="00817161" w:rsidRPr="00817161" w:rsidRDefault="00817161" w:rsidP="00817161">
      <w:pPr>
        <w:numPr>
          <w:ilvl w:val="1"/>
          <w:numId w:val="3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un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verbe conjugué au conditionnel : 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on aurait dit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 ;</w:t>
      </w:r>
    </w:p>
    <w:p w:rsidR="00817161" w:rsidRPr="00817161" w:rsidRDefault="00817161" w:rsidP="00817161">
      <w:pPr>
        <w:numPr>
          <w:ilvl w:val="1"/>
          <w:numId w:val="3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verbes à la forme impersonnelle :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 il semblerait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 ;</w:t>
      </w:r>
    </w:p>
    <w:p w:rsidR="00817161" w:rsidRPr="00817161" w:rsidRDefault="00817161" w:rsidP="00817161">
      <w:pPr>
        <w:numPr>
          <w:ilvl w:val="1"/>
          <w:numId w:val="3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expressions toutes faites (locutions) :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 selon les uns, à ce qu’on dit, selon toute vraisemblance, sans aucun doute, on crut apercevoir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, etc. ;</w:t>
      </w:r>
    </w:p>
    <w:p w:rsidR="00817161" w:rsidRPr="00817161" w:rsidRDefault="00817161" w:rsidP="00817161">
      <w:pPr>
        <w:numPr>
          <w:ilvl w:val="1"/>
          <w:numId w:val="3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périphrases qui permettent de ne pas nommer clairement les choses : 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une sorte de, un je ne sais quoi, quelque chose, une créature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, etc.</w:t>
      </w:r>
    </w:p>
    <w:p w:rsidR="00817161" w:rsidRPr="00817161" w:rsidRDefault="00817161" w:rsidP="00817161">
      <w:pPr>
        <w:numPr>
          <w:ilvl w:val="0"/>
          <w:numId w:val="4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Enfin, la mise en cause de ce que le narrateur raconte peut aussi passer par la phrase dans son intégralité notamment avec :</w:t>
      </w:r>
    </w:p>
    <w:p w:rsidR="00817161" w:rsidRPr="00817161" w:rsidRDefault="00817161" w:rsidP="00817161">
      <w:pPr>
        <w:numPr>
          <w:ilvl w:val="1"/>
          <w:numId w:val="4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phrases interrogatives : 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Serait-il possible que... ?</w:t>
      </w:r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 ; </w:t>
      </w:r>
    </w:p>
    <w:p w:rsidR="00817161" w:rsidRPr="00817161" w:rsidRDefault="00817161" w:rsidP="00817161">
      <w:pPr>
        <w:numPr>
          <w:ilvl w:val="1"/>
          <w:numId w:val="4"/>
        </w:numPr>
        <w:shd w:val="clear" w:color="auto" w:fill="FBFBFB"/>
        <w:spacing w:before="100" w:beforeAutospacing="1" w:after="100" w:afterAutospacing="1"/>
        <w:ind w:left="0"/>
        <w:jc w:val="both"/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</w:pPr>
      <w:proofErr w:type="gramStart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>des</w:t>
      </w:r>
      <w:proofErr w:type="gramEnd"/>
      <w:r w:rsidRPr="00817161">
        <w:rPr>
          <w:rFonts w:ascii="Helvetica Neue" w:eastAsia="Times New Roman" w:hAnsi="Helvetica Neue" w:cs="Times New Roman"/>
          <w:color w:val="000000"/>
          <w:sz w:val="27"/>
          <w:szCs w:val="27"/>
          <w:lang w:eastAsia="fr-FR"/>
        </w:rPr>
        <w:t xml:space="preserve"> phrases inachevées : </w:t>
      </w:r>
      <w:r w:rsidRPr="00817161">
        <w:rPr>
          <w:rFonts w:ascii="Helvetica Neue" w:eastAsia="Times New Roman" w:hAnsi="Helvetica Neue" w:cs="Times New Roman"/>
          <w:i/>
          <w:iCs/>
          <w:color w:val="000000"/>
          <w:sz w:val="27"/>
          <w:szCs w:val="27"/>
          <w:lang w:eastAsia="fr-FR"/>
        </w:rPr>
        <w:t>Je n’ose dire ce que j’ai vu...</w:t>
      </w:r>
    </w:p>
    <w:p w:rsidR="00E059E5" w:rsidRDefault="00817161"/>
    <w:sectPr w:rsidR="00E059E5" w:rsidSect="007760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6F81"/>
    <w:multiLevelType w:val="multilevel"/>
    <w:tmpl w:val="1042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601E9"/>
    <w:multiLevelType w:val="multilevel"/>
    <w:tmpl w:val="EBFE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F5A7F"/>
    <w:multiLevelType w:val="multilevel"/>
    <w:tmpl w:val="2496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F769D"/>
    <w:multiLevelType w:val="multilevel"/>
    <w:tmpl w:val="475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61"/>
    <w:rsid w:val="00557B35"/>
    <w:rsid w:val="007760CC"/>
    <w:rsid w:val="008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42B4"/>
  <w14:defaultImageDpi w14:val="32767"/>
  <w15:chartTrackingRefBased/>
  <w15:docId w15:val="{2BEB60F6-7A3B-7A4D-A720-37FE607E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817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lecarpentier</dc:creator>
  <cp:keywords/>
  <dc:description/>
  <cp:lastModifiedBy>christine lecarpentier</cp:lastModifiedBy>
  <cp:revision>1</cp:revision>
  <dcterms:created xsi:type="dcterms:W3CDTF">2020-07-13T13:11:00Z</dcterms:created>
  <dcterms:modified xsi:type="dcterms:W3CDTF">2020-07-13T13:13:00Z</dcterms:modified>
</cp:coreProperties>
</file>