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suppressLineNumbers/>
        <w:pBdr/>
        <w:bidi w:val="0"/>
        <w:spacing w:lineRule="atLeast" w:line="435" w:before="0" w:after="0"/>
        <w:ind w:hanging="0" w:left="0" w:right="0"/>
        <w:jc w:val="left"/>
        <w:rPr>
          <w:rFonts w:ascii="IBM Plex Serif SemiBold Regular" w:hAnsi="IBM Plex Serif SemiBold Regular"/>
          <w:b w:val="false"/>
          <w:i w:val="false"/>
          <w:caps w:val="false"/>
          <w:smallCaps w:val="false"/>
          <w:color w:val="008497"/>
          <w:spacing w:val="0"/>
          <w:sz w:val="42"/>
          <w:lang w:val="fr-FR"/>
        </w:rPr>
      </w:pPr>
      <w:bookmarkStart w:id="0" w:name="File_09172114_304-355-Chap6_Widget_15549"/>
      <w:bookmarkEnd w:id="0"/>
      <w:r>
        <w:rPr>
          <w:rFonts w:ascii="IBM Plex Serif SemiBold Regular" w:hAnsi="IBM Plex Serif SemiBold Regular"/>
          <w:b w:val="false"/>
          <w:i w:val="false"/>
          <w:caps w:val="false"/>
          <w:smallCaps w:val="false"/>
          <w:color w:val="008497"/>
          <w:spacing w:val="0"/>
          <w:sz w:val="42"/>
          <w:lang w:val="fr-FR"/>
        </w:rPr>
        <w:t>Écrire pour réapprendre à vivre</w:t>
      </w:r>
    </w:p>
    <w:p>
      <w:pPr>
        <w:pStyle w:val="BodyText"/>
        <w:widowControl/>
        <w:suppressLineNumbers/>
        <w:pBdr/>
        <w:bidi w:val="0"/>
        <w:spacing w:lineRule="atLeast" w:line="435" w:before="0" w:after="0"/>
        <w:ind w:hanging="0" w:left="0" w:right="0"/>
        <w:jc w:val="left"/>
        <w:rPr>
          <w:rFonts w:ascii="IBM Plex Serif SemiBold Regular" w:hAnsi="IBM Plex Serif SemiBold Regular"/>
          <w:b w:val="false"/>
          <w:i w:val="false"/>
          <w:caps w:val="false"/>
          <w:smallCaps w:val="false"/>
          <w:color w:val="008497"/>
          <w:spacing w:val="0"/>
          <w:sz w:val="42"/>
          <w:lang w:val="fr-FR"/>
        </w:rPr>
      </w:pPr>
      <w:r>
        <w:rPr>
          <w:rFonts w:ascii="IBM Plex Serif SemiBold Regular" w:hAnsi="IBM Plex Serif SemiBold Regular"/>
          <w:b w:val="false"/>
          <w:i w:val="false"/>
          <w:caps w:val="false"/>
          <w:smallCaps w:val="false"/>
          <w:color w:val="008497"/>
          <w:spacing w:val="0"/>
          <w:sz w:val="42"/>
          <w:lang w:val="fr-FR"/>
        </w:rPr>
      </w:r>
    </w:p>
    <w:p>
      <w:pPr>
        <w:pStyle w:val="BodyText"/>
        <w:widowControl/>
        <w:suppressLineNumbers/>
        <w:pBdr/>
        <w:bidi w:val="0"/>
        <w:spacing w:lineRule="atLeast" w:line="345" w:before="0" w:after="0"/>
        <w:ind w:hanging="0" w:left="0" w:right="0"/>
        <w:jc w:val="both"/>
        <w:rPr>
          <w:rFonts w:ascii="IBM Plex Serif Italic" w:hAnsi="IBM Plex Serif Italic"/>
          <w:b w:val="false"/>
          <w:i/>
          <w:caps w:val="false"/>
          <w:smallCaps w:val="false"/>
          <w:color w:val="000000"/>
          <w:spacing w:val="0"/>
          <w:sz w:val="26"/>
        </w:rPr>
      </w:pPr>
      <w:r>
        <w:rPr>
          <w:rFonts w:ascii="IBM Plex Serif Italic" w:hAnsi="IBM Plex Serif Italic"/>
          <w:b w:val="false"/>
          <w:i/>
          <w:caps w:val="false"/>
          <w:smallCaps w:val="false"/>
          <w:color w:val="000000"/>
          <w:spacing w:val="0"/>
          <w:sz w:val="26"/>
          <w:lang w:val="fr-FR"/>
        </w:rPr>
        <w:tab/>
        <w:t>Chroniqueur au journal </w:t>
      </w:r>
      <w:r>
        <w:rPr>
          <w:rFonts w:ascii="IBM Plex Serif Regular" w:hAnsi="IBM Plex Serif Regular"/>
          <w:b w:val="false"/>
          <w:i w:val="false"/>
          <w:caps w:val="false"/>
          <w:smallCaps w:val="false"/>
          <w:color w:val="000000"/>
          <w:spacing w:val="0"/>
          <w:sz w:val="26"/>
          <w:lang w:val="fr-FR"/>
        </w:rPr>
        <w:t>Libération</w:t>
      </w:r>
      <w:r>
        <w:rPr>
          <w:rFonts w:ascii="IBM Plex Serif Italic" w:hAnsi="IBM Plex Serif Italic"/>
          <w:b w:val="false"/>
          <w:i/>
          <w:caps w:val="false"/>
          <w:smallCaps w:val="false"/>
          <w:color w:val="000000"/>
          <w:spacing w:val="0"/>
          <w:sz w:val="26"/>
          <w:lang w:val="fr-FR"/>
        </w:rPr>
        <w:t>, Philippe Lançon est présent à la rédaction de </w:t>
      </w:r>
      <w:r>
        <w:rPr>
          <w:rFonts w:ascii="IBM Plex Serif Regular" w:hAnsi="IBM Plex Serif Regular"/>
          <w:b w:val="false"/>
          <w:i w:val="false"/>
          <w:caps w:val="false"/>
          <w:smallCaps w:val="false"/>
          <w:color w:val="000000"/>
          <w:spacing w:val="0"/>
          <w:sz w:val="26"/>
          <w:lang w:val="fr-FR"/>
        </w:rPr>
        <w:t>Charlie Hebdo</w:t>
      </w:r>
      <w:r>
        <w:rPr>
          <w:rFonts w:ascii="IBM Plex Serif Italic" w:hAnsi="IBM Plex Serif Italic"/>
          <w:b w:val="false"/>
          <w:i/>
          <w:caps w:val="false"/>
          <w:smallCaps w:val="false"/>
          <w:color w:val="000000"/>
          <w:spacing w:val="0"/>
          <w:sz w:val="26"/>
        </w:rPr>
        <w:t> </w:t>
      </w:r>
      <w:r>
        <w:rPr>
          <w:rFonts w:ascii="IBM Plex Serif Italic" w:hAnsi="IBM Plex Serif Italic"/>
          <w:b w:val="false"/>
          <w:i/>
          <w:caps w:val="false"/>
          <w:smallCaps w:val="false"/>
          <w:color w:val="000000"/>
          <w:spacing w:val="0"/>
          <w:sz w:val="26"/>
          <w:lang w:val="fr-FR"/>
        </w:rPr>
        <w:t>quand survient l’attentat du 7 janvier 2015. Il est touché par une balle au visage.</w:t>
      </w:r>
      <w:r>
        <w:rPr>
          <w:rFonts w:ascii="IBM Plex Serif Italic" w:hAnsi="IBM Plex Serif Italic"/>
          <w:b w:val="false"/>
          <w:i/>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Le Lambeau </w:t>
      </w:r>
      <w:r>
        <w:rPr>
          <w:rFonts w:ascii="IBM Plex Serif Italic" w:hAnsi="IBM Plex Serif Italic"/>
          <w:b w:val="false"/>
          <w:i/>
          <w:caps w:val="false"/>
          <w:smallCaps w:val="false"/>
          <w:color w:val="000000"/>
          <w:spacing w:val="0"/>
          <w:sz w:val="26"/>
          <w:lang w:val="fr-FR"/>
        </w:rPr>
        <w:t>raconte la reconstruction physique et morale du journaliste.</w:t>
      </w:r>
    </w:p>
    <w:p>
      <w:pPr>
        <w:pStyle w:val="BodyText"/>
        <w:widowControl/>
        <w:suppressLineNumbers/>
        <w:pBdr/>
        <w:bidi w:val="0"/>
        <w:spacing w:lineRule="atLeast" w:line="345" w:before="0" w:after="0"/>
        <w:ind w:hanging="0" w:left="0" w:right="0"/>
        <w:jc w:val="both"/>
        <w:rPr>
          <w:lang w:val="fr-FR"/>
        </w:rPr>
      </w:pPr>
      <w:r>
        <w:rPr>
          <w:rFonts w:ascii="IBM Plex Serif Italic" w:hAnsi="IBM Plex Serif Italic"/>
          <w:b w:val="false"/>
          <w:i/>
          <w:caps w:val="false"/>
          <w:smallCaps w:val="false"/>
          <w:color w:val="000000"/>
          <w:spacing w:val="0"/>
          <w:sz w:val="26"/>
        </w:rPr>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Mes parents sont arrivés dans la matinée, au moment où l’on me transférait du bâtiment des urgences à celui de stomatologie. […] Je les ai regardés d’en bas et perpendiculairement, depuis le berceau où je n’avais pas la possibilité de vagir</w:t>
      </w:r>
      <w:r>
        <w:rPr>
          <w:rFonts w:ascii="Fira Sans SemiBold" w:hAnsi="Fira Sans SemiBold"/>
          <w:b/>
          <w:i w:val="false"/>
          <w:caps w:val="false"/>
          <w:smallCaps w:val="false"/>
          <w:color w:val="C20012"/>
          <w:spacing w:val="0"/>
          <w:sz w:val="20"/>
          <w:u w:val="none"/>
          <w:lang w:val="fr-FR"/>
        </w:rPr>
        <w:t xml:space="preserve"> </w:t>
      </w:r>
      <w:r>
        <w:rPr>
          <w:rFonts w:ascii="IBM Plex Serif Regular" w:hAnsi="IBM Plex Serif Regular"/>
          <w:b w:val="false"/>
          <w:i w:val="false"/>
          <w:caps w:val="false"/>
          <w:smallCaps w:val="false"/>
          <w:color w:val="000000"/>
          <w:spacing w:val="0"/>
          <w:sz w:val="26"/>
          <w:lang w:val="fr-FR"/>
        </w:rPr>
        <w:t>ni de croire que j’allais renaître, mais aussi d’en haut, comme une sorte de Bouddha lévitant par-dessus leurs silhouettes, leur douleur. Eux souffraient, je le voyais, mais moi, je ne souffrais pas : j’étais la souffrance. Vivre à l’intérieur de la souffrance, entièrement, ne plus être déterminé que par elle, ce n’est pas souffrir ; c’est autre chose, une modification complète de l’être. Je sentais que je me détachais de tout ce que je voyais et de moi-même pour mieux le digérer. […]</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Tandis qu’on me déplaçait la douleur est arrivée, la vraie, et avec elle, un instant, comme une lumière rouge à travers une persienne, la perception du combat que j’allais devoir mener. J’ai brièvement et violemment regretté cette nuit d’antichambre, qui m’avait donné accès à un état que les mots ne permettent pas de restituer. Le dernier qui me vint fut Pilar, l’infirmière de la salle de réveil : c’était le prénom de la femme d’un poète, Jules Supervielle, dont la mélancolie d’exilé avait enchanté mon adolescence, et celui que j’avais pour cette raison donné à l’héroïne de mon premier roman, écrit sous pseudonyme […]. Le poète était oublié, aujourd’hui, et mon roman n’avait eu aucun succès, ce qui était sans importance, puisque je ne savais plus grand-chose de celui qui l’avait écrit. Mais ce mot, Pilar, est remonté avec la fée solide des premiers soins. Il revenait d’entre les pages, d’entre les rêves, d’entre les morts, à travers les odeurs fictives du café et de l’haleine de Gabriela, et à travers celles, bien réelles, de la Bétadine</w:t>
      </w:r>
      <w:r>
        <w:rPr>
          <w:rFonts w:ascii="IBM Plex Serif Regular" w:hAnsi="IBM Plex Serif Regular"/>
          <w:b w:val="false"/>
          <w:i w:val="false"/>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et du désinfectant. Le roman s’intitulait </w:t>
      </w:r>
      <w:r>
        <w:rPr>
          <w:rFonts w:ascii="IBM Plex Serif Italic" w:hAnsi="IBM Plex Serif Italic"/>
          <w:b w:val="false"/>
          <w:i/>
          <w:caps w:val="false"/>
          <w:smallCaps w:val="false"/>
          <w:color w:val="000000"/>
          <w:spacing w:val="0"/>
          <w:sz w:val="26"/>
          <w:lang w:val="fr-FR"/>
        </w:rPr>
        <w:t>Je ne sais pas écrire et je suis un innocent</w:t>
      </w:r>
      <w:r>
        <w:rPr>
          <w:rFonts w:ascii="IBM Plex Serif Regular" w:hAnsi="IBM Plex Serif Regular"/>
          <w:b w:val="false"/>
          <w:i w:val="false"/>
          <w:caps w:val="false"/>
          <w:smallCaps w:val="false"/>
          <w:color w:val="000000"/>
          <w:spacing w:val="0"/>
          <w:sz w:val="26"/>
          <w:lang w:val="fr-FR"/>
        </w:rPr>
        <w:t>. C’était le vers d’un poète cubain. Onze ans après publication, le titre se justifiait : j’étais dans un état et une situation qui faisaient de moi, au sens propre, un innocent, et il me faudrait lentement surmonter, si c’était possible, le sentiment que je ne savais rien écrire de ce qui m’arrivait. Il le faudrait, simplement, pour réapprendre à vivre.</w:t>
      </w:r>
    </w:p>
    <w:p>
      <w:pPr>
        <w:pStyle w:val="BodyText"/>
        <w:widowControl/>
        <w:pBdr/>
        <w:bidi w:val="0"/>
        <w:spacing w:lineRule="atLeast" w:line="345" w:before="0" w:after="0"/>
        <w:ind w:hanging="0" w:left="0" w:right="0"/>
        <w:jc w:val="both"/>
        <w:rPr>
          <w:lang w:val="fr-FR"/>
        </w:rPr>
      </w:pPr>
      <w:r>
        <w:rPr>
          <w:rFonts w:ascii="IBM Plex Serif Regular" w:hAnsi="IBM Plex Serif Regular"/>
          <w:b w:val="false"/>
          <w:i w:val="false"/>
          <w:caps w:val="false"/>
          <w:smallCaps w:val="false"/>
          <w:color w:val="000000"/>
          <w:spacing w:val="0"/>
          <w:sz w:val="26"/>
        </w:rPr>
      </w:r>
    </w:p>
    <w:p>
      <w:pPr>
        <w:pStyle w:val="BodyText"/>
        <w:widowControl/>
        <w:suppressLineNumbers/>
        <w:pBdr/>
        <w:bidi w:val="0"/>
        <w:spacing w:lineRule="atLeast" w:line="285" w:before="0" w:after="0"/>
        <w:ind w:hanging="0" w:left="0" w:right="0"/>
        <w:jc w:val="right"/>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bCs/>
          <w:i w:val="false"/>
          <w:caps w:val="false"/>
          <w:smallCaps w:val="false"/>
          <w:color w:val="000000"/>
          <w:spacing w:val="0"/>
          <w:sz w:val="24"/>
          <w:szCs w:val="24"/>
          <w:lang w:val="fr-FR"/>
        </w:rPr>
        <w:t>Philippe </w:t>
      </w:r>
      <w:r>
        <w:rPr>
          <w:rFonts w:ascii="IBM Plex Serif Regular" w:hAnsi="IBM Plex Serif Regular"/>
          <w:b/>
          <w:bCs/>
          <w:i w:val="false"/>
          <w:smallCaps/>
          <w:color w:val="000000"/>
          <w:spacing w:val="0"/>
          <w:sz w:val="24"/>
          <w:szCs w:val="24"/>
          <w:lang w:val="fr-FR"/>
        </w:rPr>
        <w:t>Lançon</w:t>
      </w:r>
      <w:r>
        <w:rPr>
          <w:rFonts w:ascii="IBM Plex Serif Regular" w:hAnsi="IBM Plex Serif Regular"/>
          <w:b/>
          <w:bCs/>
          <w:i w:val="false"/>
          <w:caps w:val="false"/>
          <w:smallCaps w:val="false"/>
          <w:color w:val="000000"/>
          <w:spacing w:val="0"/>
          <w:sz w:val="24"/>
          <w:szCs w:val="24"/>
          <w:lang w:val="fr-FR"/>
        </w:rPr>
        <w:t>, </w:t>
      </w:r>
      <w:r>
        <w:rPr>
          <w:rFonts w:ascii="IBM Plex Serif Italic" w:hAnsi="IBM Plex Serif Italic"/>
          <w:b/>
          <w:bCs/>
          <w:i/>
          <w:caps w:val="false"/>
          <w:smallCaps w:val="false"/>
          <w:color w:val="000000"/>
          <w:spacing w:val="0"/>
          <w:sz w:val="24"/>
          <w:szCs w:val="24"/>
          <w:lang w:val="fr-FR"/>
        </w:rPr>
        <w:t>Le Lambeau</w:t>
      </w:r>
      <w:r>
        <w:rPr>
          <w:rFonts w:ascii="IBM Plex Serif Regular" w:hAnsi="IBM Plex Serif Regular"/>
          <w:b w:val="false"/>
          <w:i w:val="false"/>
          <w:caps w:val="false"/>
          <w:smallCaps w:val="false"/>
          <w:color w:val="000000"/>
          <w:spacing w:val="0"/>
          <w:sz w:val="24"/>
          <w:szCs w:val="24"/>
          <w:lang w:val="fr-FR"/>
        </w:rPr>
        <w:t>, © Gallimard,</w:t>
      </w:r>
      <w:r>
        <w:rPr>
          <w:rFonts w:ascii="IBM Plex Serif Regular" w:hAnsi="IBM Plex Serif Regular"/>
          <w:b w:val="false"/>
          <w:i w:val="false"/>
          <w:caps w:val="false"/>
          <w:smallCaps w:val="false"/>
          <w:color w:val="000000"/>
          <w:spacing w:val="0"/>
          <w:sz w:val="24"/>
          <w:szCs w:val="24"/>
        </w:rPr>
        <w:t> </w:t>
      </w:r>
      <w:r>
        <w:rPr>
          <w:rFonts w:ascii="IBM Plex Serif Regular" w:hAnsi="IBM Plex Serif Regular"/>
          <w:b w:val="false"/>
          <w:i w:val="false"/>
          <w:caps w:val="false"/>
          <w:smallCaps w:val="false"/>
          <w:color w:val="000000"/>
          <w:spacing w:val="0"/>
          <w:sz w:val="24"/>
          <w:szCs w:val="24"/>
          <w:lang w:val="fr-FR"/>
        </w:rPr>
        <w:t>2018.</w:t>
      </w:r>
    </w:p>
    <w:p>
      <w:pPr>
        <w:pStyle w:val="Normal"/>
        <w:suppressLineNumbers/>
        <w:bidi w:val="0"/>
        <w:jc w:val="left"/>
        <w:rPr/>
      </w:pPr>
      <w:r>
        <w:rPr/>
      </w:r>
    </w:p>
    <w:p>
      <w:pPr>
        <w:pStyle w:val="Normal"/>
        <w:suppressLineNumbers/>
        <w:bidi w:val="0"/>
        <w:jc w:val="left"/>
        <w:rPr/>
      </w:pPr>
      <w:r>
        <w:rPr/>
      </w:r>
    </w:p>
    <w:p>
      <w:pPr>
        <w:pStyle w:val="Normal"/>
        <w:suppressLineNumbers/>
        <w:bidi w:val="0"/>
        <w:jc w:val="left"/>
        <w:rPr/>
      </w:pPr>
      <w:r>
        <w:rPr/>
      </w:r>
    </w:p>
    <w:p>
      <w:pPr>
        <w:pStyle w:val="Normal"/>
        <w:suppressLineNumbers/>
        <w:bidi w:val="0"/>
        <w:jc w:val="left"/>
        <w:rPr/>
      </w:pPr>
      <w:r>
        <w:rPr>
          <w:b/>
          <w:bCs/>
          <w:u w:val="single"/>
          <w:shd w:fill="FFFF00" w:val="clear"/>
        </w:rPr>
        <w:t>Interprétation littéraire</w:t>
      </w:r>
      <w:r>
        <w:rPr>
          <w:b/>
          <w:bCs/>
        </w:rPr>
        <w:t xml:space="preserve"> : </w:t>
      </w:r>
      <w:r>
        <w:rPr/>
        <w:t>Quelles expériences de la souffrance Lançon décrit-il ?</w:t>
      </w:r>
    </w:p>
    <w:p>
      <w:pPr>
        <w:pStyle w:val="Normal"/>
        <w:suppressLineNumbers/>
        <w:bidi w:val="0"/>
        <w:jc w:val="left"/>
        <w:rPr/>
      </w:pPr>
      <w:r>
        <w:rPr/>
      </w:r>
    </w:p>
    <w:p>
      <w:pPr>
        <w:pStyle w:val="Normal"/>
        <w:suppressLineNumbers/>
        <w:bidi w:val="0"/>
        <w:jc w:val="both"/>
        <w:rPr/>
      </w:pPr>
      <w:r>
        <w:rPr/>
        <w:t>=&gt; attention à ce type de question : bien sûr vous devez y répondre, et d’ailleurs la réponse peut constituer votre plan mais vous ne devez jamais oublier que votre réponse s’appuie sur des procédés d’écriture.</w:t>
      </w:r>
    </w:p>
    <w:p>
      <w:pPr>
        <w:pStyle w:val="Normal"/>
        <w:suppressLineNumbers/>
        <w:bidi w:val="0"/>
        <w:jc w:val="both"/>
        <w:rPr/>
      </w:pPr>
      <w:r>
        <w:rPr/>
      </w:r>
    </w:p>
    <w:p>
      <w:pPr>
        <w:pStyle w:val="Normal"/>
        <w:suppressLineNumbers/>
        <w:bidi w:val="0"/>
        <w:jc w:val="both"/>
        <w:rPr/>
      </w:pPr>
      <w:r>
        <w:rPr/>
      </w:r>
    </w:p>
    <w:p>
      <w:pPr>
        <w:pStyle w:val="Normal"/>
        <w:suppressLineNumbers/>
        <w:bidi w:val="0"/>
        <w:jc w:val="both"/>
        <w:rPr>
          <w:b/>
          <w:bCs/>
        </w:rPr>
      </w:pPr>
      <w:r>
        <w:rPr>
          <w:b/>
          <w:bCs/>
          <w:u w:val="single"/>
          <w:shd w:fill="FFFF00" w:val="clear"/>
        </w:rPr>
        <w:t>Proposition</w:t>
      </w:r>
      <w:r>
        <w:rPr>
          <w:b/>
          <w:bCs/>
        </w:rPr>
        <w:t> :</w:t>
      </w:r>
    </w:p>
    <w:p>
      <w:pPr>
        <w:pStyle w:val="Normal"/>
        <w:suppressLineNumbers/>
        <w:bidi w:val="0"/>
        <w:jc w:val="both"/>
        <w:rPr>
          <w:b/>
          <w:bCs/>
        </w:rPr>
      </w:pPr>
      <w:r>
        <w:rPr>
          <w:b/>
          <w:bCs/>
        </w:rPr>
      </w:r>
    </w:p>
    <w:p>
      <w:pPr>
        <w:pStyle w:val="Normal"/>
        <w:suppressLineNumbers/>
        <w:bidi w:val="0"/>
        <w:jc w:val="both"/>
        <w:rPr>
          <w:b/>
          <w:bCs/>
        </w:rPr>
      </w:pPr>
      <w:r>
        <w:rPr>
          <w:b/>
          <w:bCs/>
        </w:rPr>
        <w:t>1) La douleur physique</w:t>
      </w:r>
    </w:p>
    <w:p>
      <w:pPr>
        <w:pStyle w:val="Normal"/>
        <w:suppressLineNumbers/>
        <w:bidi w:val="0"/>
        <w:jc w:val="both"/>
        <w:rPr>
          <w:b w:val="false"/>
          <w:bCs w:val="false"/>
        </w:rPr>
      </w:pPr>
      <w:r>
        <w:rPr>
          <w:b w:val="false"/>
          <w:bCs w:val="false"/>
        </w:rPr>
        <w:t>=&gt; champ lexical de l’hôpital</w:t>
      </w:r>
    </w:p>
    <w:p>
      <w:pPr>
        <w:pStyle w:val="Normal"/>
        <w:suppressLineNumbers/>
        <w:bidi w:val="0"/>
        <w:jc w:val="both"/>
        <w:rPr>
          <w:b w:val="false"/>
          <w:bCs w:val="false"/>
        </w:rPr>
      </w:pPr>
      <w:r>
        <w:rPr>
          <w:b w:val="false"/>
          <w:bCs w:val="false"/>
        </w:rPr>
        <w:t>=&gt; la dissociation du corps comme symptôme d’une trop grande douleur visible à travers le parallélisme spatial « d’en bas » // « d’en haut »</w:t>
      </w:r>
    </w:p>
    <w:p>
      <w:pPr>
        <w:pStyle w:val="Normal"/>
        <w:suppressLineNumbers/>
        <w:bidi w:val="0"/>
        <w:jc w:val="both"/>
        <w:rPr>
          <w:b w:val="false"/>
          <w:bCs w:val="false"/>
        </w:rPr>
      </w:pPr>
      <w:r>
        <w:rPr>
          <w:b w:val="false"/>
          <w:bCs w:val="false"/>
        </w:rPr>
        <w:t>=&gt; l. 10-11 synesthésie de la vue et du toucher qui montre l’hypersensibilité physique et l’envahissement par la douleur (symbolisme de la couleur rouge)</w:t>
      </w:r>
    </w:p>
    <w:p>
      <w:pPr>
        <w:pStyle w:val="Normal"/>
        <w:suppressLineNumbers/>
        <w:bidi w:val="0"/>
        <w:jc w:val="both"/>
        <w:rPr>
          <w:b w:val="false"/>
          <w:bCs w:val="false"/>
        </w:rPr>
      </w:pPr>
      <w:r>
        <w:rPr>
          <w:b w:val="false"/>
          <w:bCs w:val="false"/>
        </w:rPr>
        <w:t>=&gt; l. 20 ces deux sensations sont continuées par la mention de l’odorat à travers des odeurs désagréables car associées à des produits désinfectants</w:t>
      </w:r>
    </w:p>
    <w:p>
      <w:pPr>
        <w:pStyle w:val="Normal"/>
        <w:suppressLineNumbers/>
        <w:bidi w:val="0"/>
        <w:jc w:val="both"/>
        <w:rPr>
          <w:b w:val="false"/>
          <w:bCs w:val="false"/>
        </w:rPr>
      </w:pPr>
      <w:r>
        <w:rPr>
          <w:b w:val="false"/>
          <w:bCs w:val="false"/>
        </w:rPr>
        <w:t>=&gt; 2 mises en valeur du GN  «  leur / la douleur » :</w:t>
      </w:r>
    </w:p>
    <w:p>
      <w:pPr>
        <w:pStyle w:val="Normal"/>
        <w:suppressLineNumbers/>
        <w:bidi w:val="0"/>
        <w:jc w:val="both"/>
        <w:rPr>
          <w:b w:val="false"/>
          <w:bCs w:val="false"/>
        </w:rPr>
      </w:pPr>
      <w:r>
        <w:rPr>
          <w:b w:val="false"/>
          <w:bCs w:val="false"/>
        </w:rPr>
        <w:tab/>
        <w:t xml:space="preserve">- l. 5 position finale du GN + encadrement par la virgule et le point + préposition « par- </w:t>
        <w:tab/>
        <w:t>dessus » omise qui oblige le lecteur à prêter attention à la construction de la phrase</w:t>
      </w:r>
    </w:p>
    <w:p>
      <w:pPr>
        <w:pStyle w:val="Normal"/>
        <w:suppressLineNumbers/>
        <w:bidi w:val="0"/>
        <w:jc w:val="both"/>
        <w:rPr>
          <w:b w:val="false"/>
          <w:bCs w:val="false"/>
        </w:rPr>
      </w:pPr>
      <w:r>
        <w:rPr>
          <w:b w:val="false"/>
          <w:bCs w:val="false"/>
        </w:rPr>
        <w:tab/>
        <w:t>- l. 10 : le GN « la douleur » est repris par un 2</w:t>
      </w:r>
      <w:r>
        <w:rPr>
          <w:b w:val="false"/>
          <w:bCs w:val="false"/>
          <w:vertAlign w:val="superscript"/>
        </w:rPr>
        <w:t>e</w:t>
      </w:r>
      <w:r>
        <w:rPr>
          <w:b w:val="false"/>
          <w:bCs w:val="false"/>
        </w:rPr>
        <w:t xml:space="preserve"> GN « la vraie », encadré par 2 virgules et </w:t>
        <w:tab/>
        <w:t>qui vient le préciser</w:t>
      </w:r>
    </w:p>
    <w:p>
      <w:pPr>
        <w:pStyle w:val="Normal"/>
        <w:suppressLineNumbers/>
        <w:bidi w:val="0"/>
        <w:jc w:val="both"/>
        <w:rPr>
          <w:b w:val="false"/>
          <w:bCs w:val="false"/>
        </w:rPr>
      </w:pPr>
      <w:r>
        <w:rPr>
          <w:b w:val="false"/>
          <w:bCs w:val="false"/>
        </w:rPr>
        <w:t>=&gt;  répétition de la construction qui met la P1 en position de COD « me » (l. 1 et 10, c’est-à-dire 2 fois en attaque des paragraphes), c’est-à-dire en position de subir une action, qui est de plus, réalisée par un « on » indéfini (déshumanisation de la relation de soin)</w:t>
      </w:r>
    </w:p>
    <w:p>
      <w:pPr>
        <w:pStyle w:val="Normal"/>
        <w:suppressLineNumbers/>
        <w:bidi w:val="0"/>
        <w:jc w:val="both"/>
        <w:rPr>
          <w:b/>
          <w:bCs/>
        </w:rPr>
      </w:pPr>
      <w:r>
        <w:rPr>
          <w:b/>
          <w:bCs/>
        </w:rPr>
      </w:r>
    </w:p>
    <w:p>
      <w:pPr>
        <w:pStyle w:val="Normal"/>
        <w:suppressLineNumbers/>
        <w:bidi w:val="0"/>
        <w:jc w:val="both"/>
        <w:rPr>
          <w:b/>
          <w:bCs/>
        </w:rPr>
      </w:pPr>
      <w:r>
        <w:rPr>
          <w:b/>
          <w:bCs/>
        </w:rPr>
        <w:t>2) Les souffrances psychiques</w:t>
      </w:r>
    </w:p>
    <w:p>
      <w:pPr>
        <w:pStyle w:val="Normal"/>
        <w:suppressLineNumbers/>
        <w:bidi w:val="0"/>
        <w:jc w:val="both"/>
        <w:rPr>
          <w:b w:val="false"/>
          <w:bCs w:val="false"/>
        </w:rPr>
      </w:pPr>
      <w:r>
        <w:rPr>
          <w:b w:val="false"/>
          <w:bCs w:val="false"/>
        </w:rPr>
        <w:t>=&gt; le dernier procédé évoqué renvoie à une perte d’autonomie de celui qui souffre dans son corps qui ajoute à la douleur physique, une souffrance morale</w:t>
      </w:r>
    </w:p>
    <w:p>
      <w:pPr>
        <w:pStyle w:val="Normal"/>
        <w:suppressLineNumbers/>
        <w:bidi w:val="0"/>
        <w:jc w:val="both"/>
        <w:rPr>
          <w:b w:val="false"/>
          <w:bCs w:val="false"/>
        </w:rPr>
      </w:pPr>
      <w:r>
        <w:rPr>
          <w:b w:val="false"/>
          <w:bCs w:val="false"/>
        </w:rPr>
        <w:t>=&gt; l. 6 construction attributive inattendue « j’étais la souffrance » qui associe la douleur à l’individu dans son entièreté et non seulement à son corps</w:t>
      </w:r>
    </w:p>
    <w:p>
      <w:pPr>
        <w:pStyle w:val="Normal"/>
        <w:suppressLineNumbers/>
        <w:bidi w:val="0"/>
        <w:jc w:val="both"/>
        <w:rPr>
          <w:b/>
          <w:bCs/>
        </w:rPr>
      </w:pPr>
      <w:r>
        <w:rPr>
          <w:b/>
          <w:bCs/>
        </w:rPr>
      </w:r>
    </w:p>
    <w:p>
      <w:pPr>
        <w:pStyle w:val="Normal"/>
        <w:suppressLineNumbers/>
        <w:bidi w:val="0"/>
        <w:jc w:val="both"/>
        <w:rPr>
          <w:b/>
          <w:bCs/>
        </w:rPr>
      </w:pPr>
      <w:r>
        <w:rPr>
          <w:b/>
          <w:bCs/>
        </w:rPr>
        <w:t>3) La souffrance totale indicible</w:t>
      </w:r>
    </w:p>
    <w:p>
      <w:pPr>
        <w:pStyle w:val="Normal"/>
        <w:suppressLineNumbers/>
        <w:bidi w:val="0"/>
        <w:jc w:val="both"/>
        <w:rPr>
          <w:b/>
          <w:bCs/>
        </w:rPr>
      </w:pPr>
      <w:r>
        <w:rPr>
          <w:b/>
          <w:bCs/>
        </w:rPr>
      </w:r>
    </w:p>
    <w:p>
      <w:pPr>
        <w:pStyle w:val="Normal"/>
        <w:suppressLineNumbers/>
        <w:bidi w:val="0"/>
        <w:jc w:val="both"/>
        <w:rPr>
          <w:b/>
          <w:bCs/>
        </w:rPr>
      </w:pPr>
      <w:r>
        <w:rPr>
          <w:b/>
          <w:bCs/>
        </w:rPr>
        <w:t>4) Le dépassement de ces souffrances par l’écriture</w:t>
      </w:r>
    </w:p>
    <w:sectPr>
      <w:type w:val="nextPage"/>
      <w:pgSz w:w="11906" w:h="16838"/>
      <w:pgMar w:left="1134" w:right="1134" w:gutter="0" w:header="0" w:top="1134" w:footer="0" w:bottom="1134"/>
      <w:lnNumType w:countBy="5" w:restart="continuous" w:distance="28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BM Plex Serif SemiBold Regular">
    <w:charset w:val="00"/>
    <w:family w:val="auto"/>
    <w:pitch w:val="default"/>
  </w:font>
  <w:font w:name="IBM Plex Serif Italic">
    <w:charset w:val="00"/>
    <w:family w:val="auto"/>
    <w:pitch w:val="default"/>
  </w:font>
  <w:font w:name="IBM Plex Serif Regular">
    <w:charset w:val="00"/>
    <w:family w:val="auto"/>
    <w:pitch w:val="default"/>
  </w:font>
  <w:font w:name="Fira Sans SemiBold">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character" w:styleId="LineNumber">
    <w:name w:val="line numbe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Footer">
    <w:name w:val="footer"/>
    <w:basedOn w:val="En-tteetpieddepage"/>
    <w:pPr>
      <w:suppressLineNumber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LibreOffice/24.8.6.2$Windows_X86_64 LibreOffice_project/6d98ba145e9a8a39fc57bcc76981d1fb1316c60c</Application>
  <AppVersion>15.0000</AppVersion>
  <Pages>2</Pages>
  <Words>758</Words>
  <Characters>3647</Characters>
  <CharactersWithSpaces>4393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2025-05-26T16:51:00Z</dcterms:created>
  <dc:creator/>
  <dc:description/>
  <dc:language>fr-FR</dc:language>
  <cp:lastModifiedBy/>
  <dcterms:modified xsi:type="dcterms:W3CDTF">2025-05-26T17:11:15Z</dcterms:modified>
  <cp:revision>1</cp:revision>
  <dc:subject/>
  <dc:title/>
</cp:coreProperties>
</file>