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F3" w:rsidRDefault="002251F3">
      <w:pPr>
        <w:jc w:val="center"/>
        <w:rPr>
          <w:b/>
          <w:bCs/>
        </w:rPr>
      </w:pPr>
      <w:r>
        <w:rPr>
          <w:b/>
          <w:bCs/>
        </w:rPr>
        <w:t>LA VIOLENCE SOCIALE</w:t>
      </w:r>
    </w:p>
    <w:p w:rsidR="002251F3" w:rsidRDefault="002251F3">
      <w:pPr>
        <w:jc w:val="center"/>
        <w:rPr>
          <w:b/>
          <w:bCs/>
        </w:rPr>
      </w:pPr>
    </w:p>
    <w:p w:rsidR="002251F3" w:rsidRDefault="002251F3">
      <w:pPr>
        <w:jc w:val="center"/>
        <w:rPr>
          <w:b/>
          <w:bCs/>
        </w:rPr>
      </w:pPr>
    </w:p>
    <w:tbl>
      <w:tblPr>
        <w:tblW w:w="10206" w:type="dxa"/>
        <w:tblInd w:w="-2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193"/>
        <w:gridCol w:w="3967"/>
        <w:gridCol w:w="5046"/>
      </w:tblGrid>
      <w:tr w:rsidR="002251F3"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de violence</w:t>
            </w:r>
          </w:p>
          <w:p w:rsidR="002251F3" w:rsidRDefault="002251F3">
            <w:pPr>
              <w:pStyle w:val="Contenudetableau"/>
              <w:jc w:val="center"/>
              <w:rPr>
                <w:b/>
                <w:bCs/>
              </w:rPr>
            </w:pPr>
          </w:p>
        </w:tc>
        <w:tc>
          <w:tcPr>
            <w:tcW w:w="5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1F3" w:rsidRDefault="002251F3">
            <w:pPr>
              <w:pStyle w:val="Contenudetableau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Procédés</w:t>
            </w:r>
          </w:p>
        </w:tc>
      </w:tr>
      <w:tr w:rsidR="002251F3">
        <w:tc>
          <w:tcPr>
            <w:tcW w:w="1193" w:type="dxa"/>
            <w:tcBorders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Despentes</w:t>
            </w:r>
          </w:p>
        </w:tc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</w:pPr>
            <w:r>
              <w:t>Violence psychologique : boulimie et dépendance à la nourriture</w:t>
            </w: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>Liée à une violence sociale : celle du diktat des normes de beauté</w:t>
            </w:r>
          </w:p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</w:p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</w:p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>Et provoquant une violence physique (détérioration du système digestif)</w:t>
            </w:r>
          </w:p>
        </w:tc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</w:pPr>
            <w:r>
              <w:t>Phrase averbale énumérative l. 3-4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répétition de la forme impersonnelle « il faut » l. 5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comparaison à une drogue dure l. 7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langage grossier l. 20-21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juxtaposition qui sous-entend la relation de cause et montre ainsi l’évidence partagée de ces normes l. 10-11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diktat très puissant comme le montre le fait que les deux personnages féminins soient concernés.</w:t>
            </w:r>
          </w:p>
        </w:tc>
      </w:tr>
      <w:tr w:rsidR="002251F3">
        <w:tc>
          <w:tcPr>
            <w:tcW w:w="1193" w:type="dxa"/>
            <w:tcBorders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Réza</w:t>
            </w:r>
          </w:p>
        </w:tc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</w:pPr>
            <w:r>
              <w:t xml:space="preserve">Violence conjugale ordinaire </w:t>
            </w: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>Violence économique et sociale liée à la société de sur-consommation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(texte critique)</w:t>
            </w:r>
          </w:p>
        </w:tc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</w:pPr>
            <w:r>
              <w:t>Champ lexical de la violence verbale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répliques courtes d’où un rythme heurté, haché qui mime la joute verbale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paragraphe très long, tout d’un bloc donc difficile à dire, ce qui mime la difficulté à communiquer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langage grossier, accusateur, culpabilisant, mensonger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abondance des questions rhétoriques et des exclamatives qui traduisent la colère et l’énervement des personnages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l. 28 la subordonnée conditionnelle qui montre l’habitude de ce mode de communication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champ lexical des marques de nourriture =&gt; pression manipulatoire de la publicité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« on » du début =&gt; sortie en famille (on = nous) mais aussi généralisation qui montre que tout le monde est concerné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Contraste entre la violence du supermarché et le week-end, censé être un moment de repos</w:t>
            </w:r>
          </w:p>
        </w:tc>
      </w:tr>
      <w:tr w:rsidR="002251F3">
        <w:tc>
          <w:tcPr>
            <w:tcW w:w="1193" w:type="dxa"/>
            <w:tcBorders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Donner</w:t>
            </w:r>
          </w:p>
        </w:tc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</w:pPr>
            <w:r>
              <w:t>Violence familiale liée aux différences de statut social et économique</w:t>
            </w: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>Violence morale : la possibilité de se renier pour réussir</w:t>
            </w: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>Violence psychologique : souffrance du déchirement</w:t>
            </w:r>
          </w:p>
          <w:p w:rsidR="002251F3" w:rsidRDefault="002251F3">
            <w:pPr>
              <w:pStyle w:val="Contenudetableau"/>
              <w:spacing w:line="276" w:lineRule="auto"/>
            </w:pPr>
          </w:p>
        </w:tc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</w:pPr>
            <w:r>
              <w:t xml:space="preserve">Vocabulaire ordurier l. 17 et  20-21 =&gt; colère 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champ lexical de la monnaie et répétition du nom « fric » l. 28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 xml:space="preserve">l. 16 : stéréotypes liés au Juif et références littéraires liées à la judaïté 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comparaison dévalorisante pour le personnage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 xml:space="preserve">l. 20 : répétition du CCL 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d’où un jugement négatif sur le public populaire jugé vulgaire l. 25 « ça » mis en valeur par la forme emphatique et en contraste avec « le bon goût » de Cannes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absence de ponctuation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technique du flux de conscience qui traduit le fil de la pensée et des émotions</w:t>
            </w:r>
          </w:p>
        </w:tc>
      </w:tr>
      <w:tr w:rsidR="002251F3">
        <w:tc>
          <w:tcPr>
            <w:tcW w:w="1193" w:type="dxa"/>
            <w:tcBorders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Durand</w:t>
            </w:r>
          </w:p>
        </w:tc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</w:pPr>
            <w:r>
              <w:t>Violence sociale envers les personnes âgées =&gt; abandon et maltraitance</w:t>
            </w: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>Violence sexuelle liée au tabou, à l’absence d’éducation et à la forme patriarcale du schéma familial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=&gt; violence physique</w:t>
            </w: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>=&gt; violence du tabou</w:t>
            </w: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>=&gt; malaise masculin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Violence sociale de la soumission féminine normalisée</w:t>
            </w:r>
          </w:p>
        </w:tc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</w:pPr>
            <w:r>
              <w:t>À peine suggérée par l’emploi du mot péjoratif « mouroir » pour désigner les EHPAD, renforcé par le CDN « de grande banlieue » qui accentue l’impression d’abandon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et repris à la fin du texte par l’expression « lit de mort »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=&gt; situe le souvenir du personnage dans une période antérieure à la libération des mœurs (1968)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description de la nature contrastée entre des éléments douloureux et d’autres positifs (l. 3-6)</w:t>
            </w: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 xml:space="preserve">antithèse l.10 entre le feu (désir amoureux) et la glace (sidération due à la douleur) 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l. 13-15 champ lexical de la torture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points de suspension l. 12 qui montrent que même cinquante ans après elle ne peut toujours pas parler de sexe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questions timides l. 18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passage au futur et au futur antérieur l. 19-20 qui renforce l’article totalisant « toute » sa vie et qui est repris l. 29</w:t>
            </w:r>
          </w:p>
        </w:tc>
      </w:tr>
      <w:tr w:rsidR="002251F3">
        <w:tc>
          <w:tcPr>
            <w:tcW w:w="1193" w:type="dxa"/>
            <w:tcBorders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Finkelstein</w:t>
            </w:r>
          </w:p>
        </w:tc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  <w:r>
              <w:t>Violence terroriste suggérée par la présence des militaires</w:t>
            </w:r>
          </w:p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 xml:space="preserve">Violence des armes </w:t>
            </w:r>
          </w:p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</w:p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</w:p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</w:p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</w:p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>Violence de l'anonymat urbain</w:t>
            </w: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>Qui engendre une violence physique : l'intimité forcée</w:t>
            </w:r>
          </w:p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>Violence de la surinformation qui provoque la violence de l'indifférence et crée un conflit intérieur, donc une violence psychologique</w:t>
            </w:r>
          </w:p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</w:p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</w:p>
        </w:tc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  <w:r>
              <w:t>Allusion implicite par le choix de la station de métro : "Stalingrad" + "quatre militaires" qui évoque les rondes après les attentats de 2015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L'enchaînement des phrases 2 et 3 qui laisse supposer une relation de cause à effet =&gt; la présence des armes engendre l'angoisse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 xml:space="preserve">Champ lexical précis du corps, cible des armes : "yeux" ; "son coude" ; "mon ventre" ; 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La phrase en italique + impératifs et répétition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Lexique du grand nombre : "des dizaines de gens" ; "tant de gens" répété + "foule"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Objectivation de la foule en "wagon (l. 16 et18)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Puis passage au "on" indéfini qui dépersonnalise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+ absence de communication supplée par le téléphone</w:t>
            </w:r>
          </w:p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  <w:r>
              <w:t>Importance des verbes pronominaux qui traduisent cette proximité : "se mêlent" ; "se touchent" + vocabulaire de la difficulté : "forcée" ; "épreuve"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Mise en valeur de l'information par les italiques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Avalanche de phrases courtes et factuelles qui déshumanisent le conflit guerrier + phrases adjectivales "impossible de" répétées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l.38 : opposition ("mais"( entre la surabondance d'information et l'attitude de la narratrice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Justifiée par l'obligation de "survivre" (titre du roman) =&gt; modalisateur "devoir" répété + chiasme + futur prédictif.</w:t>
            </w:r>
          </w:p>
        </w:tc>
      </w:tr>
      <w:tr w:rsidR="002251F3">
        <w:tc>
          <w:tcPr>
            <w:tcW w:w="1193" w:type="dxa"/>
            <w:tcBorders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Beigbeder</w:t>
            </w:r>
          </w:p>
        </w:tc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</w:pPr>
            <w:r>
              <w:t>Violence terroriste suggérée</w:t>
            </w: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>idem pour violence écologique</w:t>
            </w: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>violence sociale liée aux réseaux sociaux  d’où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=&gt; impossibilité de communiquer</w:t>
            </w: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 xml:space="preserve">violence sociale liée à la mode des selfies qui traduit la tendance à vivre par procuration </w:t>
            </w: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>et la comparaison incessante</w:t>
            </w: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>qui devient une idéologie menaçante</w:t>
            </w:r>
          </w:p>
        </w:tc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</w:pPr>
            <w:r>
              <w:t>Banalisation de la formule « quartier des attentats » l. 1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« d’un pic de pollution aux particules fines » =&gt; l’article indéfini montre que c’est devenu une habitude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mention des applications WhatsApp et Instagram</w:t>
            </w: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>expression « non-vie » qui traduit bien un entre deux entre la vie et la mort + implication du lecteur par l’emploi de la P4 et du présent de vérité générale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métaphore qui semble séduisante par le vocabulaire scientifique mais réduit l’homme à un tas l.15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formulation infantile l. 21 « et pas toi » ; l. 31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hiérarchisation des selfies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description ironique des postures ridicules prises par les selfistes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vocabulaire de la politique et de la guerre l. 35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ironie du à l’emploi d’un langage et de références philosophiques pour désigner une pratique narcissique (l. 39-40)</w:t>
            </w:r>
          </w:p>
        </w:tc>
      </w:tr>
      <w:tr w:rsidR="002251F3">
        <w:tc>
          <w:tcPr>
            <w:tcW w:w="1193" w:type="dxa"/>
            <w:tcBorders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Gunzig</w:t>
            </w:r>
          </w:p>
        </w:tc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  <w:r>
              <w:t>Violences sexuelles</w:t>
            </w:r>
          </w:p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</w:p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</w:p>
          <w:p w:rsidR="002251F3" w:rsidRDefault="002251F3">
            <w:pPr>
              <w:pStyle w:val="Contenudetableau"/>
              <w:spacing w:line="276" w:lineRule="auto"/>
            </w:pPr>
            <w:r>
              <w:t>Violence socio-économique (chômage)</w:t>
            </w:r>
          </w:p>
        </w:tc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  <w:r>
              <w:t xml:space="preserve">Jeu sur le référent et les consonances  des prénoms 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Contraste entre un personnage pour enfant et le fantasme de pédophile</w:t>
            </w:r>
          </w:p>
          <w:p w:rsidR="002251F3" w:rsidRDefault="002251F3">
            <w:pPr>
              <w:pStyle w:val="Contenudetableau"/>
              <w:spacing w:line="276" w:lineRule="auto"/>
            </w:pPr>
            <w:r>
              <w:t>Négations : "sans" ; "ne... plus" associé à du plus-que-parfait à valeur d'antériorité</w:t>
            </w:r>
          </w:p>
        </w:tc>
      </w:tr>
      <w:tr w:rsidR="002251F3">
        <w:tc>
          <w:tcPr>
            <w:tcW w:w="1193" w:type="dxa"/>
            <w:tcBorders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Flahaut</w:t>
            </w:r>
          </w:p>
        </w:tc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</w:p>
        </w:tc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</w:p>
        </w:tc>
      </w:tr>
      <w:tr w:rsidR="002251F3">
        <w:tc>
          <w:tcPr>
            <w:tcW w:w="1193" w:type="dxa"/>
            <w:tcBorders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N’Diaye</w:t>
            </w:r>
          </w:p>
        </w:tc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</w:p>
        </w:tc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1F3" w:rsidRDefault="002251F3">
            <w:pPr>
              <w:pStyle w:val="Contenudetableau"/>
              <w:spacing w:line="276" w:lineRule="auto"/>
              <w:rPr>
                <w:rFonts w:cs="Times New Roman"/>
              </w:rPr>
            </w:pPr>
          </w:p>
        </w:tc>
      </w:tr>
    </w:tbl>
    <w:p w:rsidR="002251F3" w:rsidRDefault="002251F3">
      <w:pPr>
        <w:jc w:val="center"/>
        <w:rPr>
          <w:rFonts w:cs="Times New Roman"/>
        </w:rPr>
      </w:pPr>
    </w:p>
    <w:sectPr w:rsidR="002251F3" w:rsidSect="006453DB">
      <w:pgSz w:w="11906" w:h="16838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9"/>
  <w:autoHyphenation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3DB"/>
    <w:rsid w:val="002251F3"/>
    <w:rsid w:val="00230B93"/>
    <w:rsid w:val="002B26DD"/>
    <w:rsid w:val="006453DB"/>
    <w:rsid w:val="00A228BB"/>
    <w:rsid w:val="00B424FE"/>
    <w:rsid w:val="00DD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3DB"/>
    <w:pPr>
      <w:suppressAutoHyphens/>
    </w:pPr>
    <w:rPr>
      <w:rFonts w:cs="Liberation Serif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99"/>
    <w:qFormat/>
    <w:rsid w:val="006453DB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47617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6453DB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7617"/>
    <w:rPr>
      <w:rFonts w:cs="Liberation Serif"/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6453DB"/>
  </w:style>
  <w:style w:type="paragraph" w:styleId="Caption">
    <w:name w:val="caption"/>
    <w:basedOn w:val="Normal"/>
    <w:uiPriority w:val="99"/>
    <w:qFormat/>
    <w:rsid w:val="006453D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6453DB"/>
    <w:pPr>
      <w:suppressLineNumbers/>
    </w:pPr>
  </w:style>
  <w:style w:type="paragraph" w:customStyle="1" w:styleId="Contenudetableau">
    <w:name w:val="Contenu de tableau"/>
    <w:basedOn w:val="Normal"/>
    <w:uiPriority w:val="99"/>
    <w:rsid w:val="006453DB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3</Pages>
  <Words>962</Words>
  <Characters>5291</Characters>
  <Application>Microsoft Office Outlook</Application>
  <DocSecurity>0</DocSecurity>
  <Lines>0</Lines>
  <Paragraphs>0</Paragraphs>
  <ScaleCrop>false</ScaleCrop>
  <Company>Lycee Marie Curie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10</cp:revision>
  <dcterms:created xsi:type="dcterms:W3CDTF">2021-01-20T18:00:00Z</dcterms:created>
  <dcterms:modified xsi:type="dcterms:W3CDTF">2022-03-07T09:34:00Z</dcterms:modified>
</cp:coreProperties>
</file>