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3"/>
        <w:jc w:val="center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Формирование белорусской народности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Народность  (этнос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 - исторически сложившаяся совокупность людей, объединённых общностью: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языка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культуры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территории проживания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самосознания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хозяйственной жизни.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У восточных славян формирование народностей (русской, белорусской, украинской) началось при переходе от первобытности к феодализму и продолжалось всё средневековье.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V – VIII вв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-  заселение территории Беларуси славянскими племенами с юга, 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ассимиляция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их с местными балтскими племенами. В результате 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славянизации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балтского населения сложились предпосылки формирования белорусской народности.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Три пранародности – 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кривичи-полочане, дреговичи, радимичи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- постепенно втягивались в процесс формирования белорусского народа.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На территории, где формировалась и развивалась белорусская народность, с середины XIII в. складывается ВКЛ.  В формировании этнического состава населения Беларуси определённую роль сыграло 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польское и балтское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население.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3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710565</wp:posOffset>
                </wp:positionH>
                <wp:positionV relativeFrom="page">
                  <wp:posOffset>4439022</wp:posOffset>
                </wp:positionV>
                <wp:extent cx="1819275" cy="99885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445888" y="3290098"/>
                          <a:ext cx="1800225" cy="979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Конец XIII в.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начало формирования белорусской народности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-3.0000001192092896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-3.0000001192092896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710565</wp:posOffset>
                </wp:positionH>
                <wp:positionV relativeFrom="page">
                  <wp:posOffset>4439022</wp:posOffset>
                </wp:positionV>
                <wp:extent cx="1819275" cy="998855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275" cy="9988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4"/>
          <w:szCs w:val="24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4920615</wp:posOffset>
                </wp:positionH>
                <wp:positionV relativeFrom="page">
                  <wp:posOffset>4439022</wp:posOffset>
                </wp:positionV>
                <wp:extent cx="1914525" cy="99885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398263" y="3290098"/>
                          <a:ext cx="1895475" cy="979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XVI в.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формирование белорусской народности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в основном завершилось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-3.0000001192092896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-3.0000001192092896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4920615</wp:posOffset>
                </wp:positionH>
                <wp:positionV relativeFrom="page">
                  <wp:posOffset>4439022</wp:posOffset>
                </wp:positionV>
                <wp:extent cx="1914525" cy="998855"/>
                <wp:effectExtent b="0" l="0" r="0" t="0"/>
                <wp:wrapNone/>
                <wp:docPr id="1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9988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4"/>
          <w:szCs w:val="24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2853690</wp:posOffset>
                </wp:positionH>
                <wp:positionV relativeFrom="page">
                  <wp:posOffset>4439022</wp:posOffset>
                </wp:positionV>
                <wp:extent cx="1690211" cy="944001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460175" y="3290098"/>
                          <a:ext cx="1771650" cy="979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XIV-XV вв.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процесс формирования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белорусской народности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-3.0000001192092896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2853690</wp:posOffset>
                </wp:positionH>
                <wp:positionV relativeFrom="page">
                  <wp:posOffset>4439022</wp:posOffset>
                </wp:positionV>
                <wp:extent cx="1690211" cy="944001"/>
                <wp:effectExtent b="0" l="0" r="0" t="0"/>
                <wp:wrapNone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0211" cy="9440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3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127000</wp:posOffset>
                </wp:positionV>
                <wp:extent cx="299720" cy="2286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05665" y="3675225"/>
                          <a:ext cx="280670" cy="209550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3.0000001192092896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127000</wp:posOffset>
                </wp:positionV>
                <wp:extent cx="299720" cy="228600"/>
                <wp:effectExtent b="0" l="0" r="0" t="0"/>
                <wp:wrapNone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72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3898900</wp:posOffset>
                </wp:positionH>
                <wp:positionV relativeFrom="paragraph">
                  <wp:posOffset>127000</wp:posOffset>
                </wp:positionV>
                <wp:extent cx="299720" cy="2286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05665" y="3675225"/>
                          <a:ext cx="280670" cy="209550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3.0000001192092896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3898900</wp:posOffset>
                </wp:positionH>
                <wp:positionV relativeFrom="paragraph">
                  <wp:posOffset>127000</wp:posOffset>
                </wp:positionV>
                <wp:extent cx="299720" cy="228600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72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Процесс создания народности содействует появлению единого языка. Постепенно формируется старобелорусский язык, в котором закрепляются особенности: “аканье”, твёрдое “р”, “цеканье”, “дзеканье”.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Исторически сложились и отличительные черты белорусов: трудолюбие, бережливость, гостеприимство, рассудительность, миролюбие.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7. Версии происхождения названия “Белая Русь”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географический фактор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белый цвет обозначал восток, т.е. название связывают со стороной света, где находится Беларусь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внешний облик населения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светлые волосы, белая полотняная одежда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религиозная особенность: 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православная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– значит белая, «чистая», в отличие от язычества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внешнеполитические обстоятельства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территория, не захваченная ни крестоносцами, ни монголо-татарами, значит белая, вольная, свободная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«привилегированное» положение некоторых восточных земель (Витебской и Полоцкой) в составе ВКЛ.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 XIV-XV вв. население белорусских земель уже выделяло себя среди других народов, но единого названия для населения наших земель долго не существовало: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«литвины» - жители Верхнего Понеманья (Гродненская обл.)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«русины» - жители Подвинья и Поднепровья (Витебская и Могилёвская обл.) в XIV-XV вв.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«белорусцы» - жители Подвинья и Поднепровья в конце XVI - начале XVII вв.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«полешуки» - жители Полесья в XVI – XVII вв.</w:t>
      </w:r>
    </w:p>
    <w:sectPr>
      <w:footerReference r:id="rId12" w:type="default"/>
      <w:pgSz w:h="16838" w:w="11906" w:orient="portrait"/>
      <w:pgMar w:bottom="709" w:top="709" w:left="1134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No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ind w:left="0" w:hanging="3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" w:cs="Noto Sans" w:eastAsia="Noto Sans" w:hAnsi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cs="Noto Sans" w:eastAsia="Noto Sans" w:hAnsi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cs="Noto Sans" w:eastAsia="Noto Sans" w:hAnsi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cs="Noto Sans" w:eastAsia="Noto Sans" w:hAnsi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cs="Noto Sans" w:eastAsia="Noto Sans" w:hAnsi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cs="Noto Sans" w:eastAsia="Noto Sans" w:hAnsi="Noto San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" w:cs="Noto Sans" w:eastAsia="Noto Sans" w:hAnsi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cs="Noto Sans" w:eastAsia="Noto Sans" w:hAnsi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cs="Noto Sans" w:eastAsia="Noto Sans" w:hAnsi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cs="Noto Sans" w:eastAsia="Noto Sans" w:hAnsi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cs="Noto Sans" w:eastAsia="Noto Sans" w:hAnsi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cs="Noto Sans" w:eastAsia="Noto Sans" w:hAnsi="Noto Sans"/>
        <w:vertAlign w:val="baseline"/>
      </w:rPr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" w:cs="Noto Sans" w:eastAsia="Noto Sans" w:hAnsi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cs="Noto Sans" w:eastAsia="Noto Sans" w:hAnsi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cs="Noto Sans" w:eastAsia="Noto Sans" w:hAnsi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cs="Noto Sans" w:eastAsia="Noto Sans" w:hAnsi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cs="Noto Sans" w:eastAsia="Noto Sans" w:hAnsi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cs="Noto Sans" w:eastAsia="Noto Sans" w:hAnsi="Noto San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ru-RU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suppressAutoHyphens w:val="1"/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  <w:sz w:val="28"/>
      <w:szCs w:val="22"/>
      <w:lang w:eastAsia="en-US" w:val="ru-RU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 w:val="1"/>
    <w:rsid w:val="00626A04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Верхний колонтитул Знак"/>
    <w:basedOn w:val="a0"/>
    <w:link w:val="a5"/>
    <w:uiPriority w:val="99"/>
    <w:rsid w:val="00626A04"/>
    <w:rPr>
      <w:position w:val="-1"/>
      <w:sz w:val="28"/>
      <w:szCs w:val="22"/>
      <w:lang w:eastAsia="en-US" w:val="ru-RU"/>
    </w:rPr>
  </w:style>
  <w:style w:type="paragraph" w:styleId="a7">
    <w:name w:val="footer"/>
    <w:basedOn w:val="a"/>
    <w:link w:val="a8"/>
    <w:uiPriority w:val="99"/>
    <w:unhideWhenUsed w:val="1"/>
    <w:rsid w:val="00626A04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Нижний колонтитул Знак"/>
    <w:basedOn w:val="a0"/>
    <w:link w:val="a7"/>
    <w:uiPriority w:val="99"/>
    <w:rsid w:val="00626A04"/>
    <w:rPr>
      <w:position w:val="-1"/>
      <w:sz w:val="28"/>
      <w:szCs w:val="22"/>
      <w:lang w:eastAsia="en-US" w:val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2" Type="http://schemas.openxmlformats.org/officeDocument/2006/relationships/footer" Target="foot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-regular.ttf"/><Relationship Id="rId2" Type="http://schemas.openxmlformats.org/officeDocument/2006/relationships/font" Target="fonts/NotoSans-bold.ttf"/><Relationship Id="rId3" Type="http://schemas.openxmlformats.org/officeDocument/2006/relationships/font" Target="fonts/NotoSans-italic.ttf"/><Relationship Id="rId4" Type="http://schemas.openxmlformats.org/officeDocument/2006/relationships/font" Target="fonts/No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x89RXjVxNW1OdchAyUlnpjzDZA==">AMUW2mWBt4Ovqnh9nRWcpkj7W7C5Hg7Db3iq/KWcbfDAUUl9c2nkuoEGShthaP6FEwBm7HEVt/GQ//OuwP72OM1qYAJ30DRdBk3KWAqP8MD70A/PYo7Zw6U=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2022-10-23T13:24:00Z</dcterms:created>
  <dc:creator>Customer</dc:creator>
</cp:coreProperties>
</file>