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1F" w:rsidRPr="0018371F" w:rsidRDefault="00D61EA9" w:rsidP="0018371F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</w:pPr>
      <w:r w:rsidRPr="0018371F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2066925" cy="2609850"/>
            <wp:effectExtent l="0" t="0" r="9525" b="0"/>
            <wp:wrapThrough wrapText="bothSides">
              <wp:wrapPolygon edited="0">
                <wp:start x="0" y="0"/>
                <wp:lineTo x="0" y="21442"/>
                <wp:lineTo x="21500" y="21442"/>
                <wp:lineTo x="21500" y="0"/>
                <wp:lineTo x="0" y="0"/>
              </wp:wrapPolygon>
            </wp:wrapThrough>
            <wp:docPr id="1" name="Рисунок 1" descr="https://www.wikireading.ru/img/314788_399_i_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314788_399_i_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71F" w:rsidRPr="0018371F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«СОЛЯНОЙ ПОХОД» В ИНДИИ</w:t>
      </w:r>
    </w:p>
    <w:p w:rsidR="0018371F" w:rsidRPr="0018371F" w:rsidRDefault="0018371F" w:rsidP="0018371F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proofErr w:type="spellStart"/>
      <w:r w:rsidRPr="0018371F">
        <w:rPr>
          <w:rFonts w:ascii="Georgia" w:eastAsia="Times New Roman" w:hAnsi="Georgia" w:cs="Times New Roman"/>
          <w:b/>
          <w:bCs/>
          <w:color w:val="444444"/>
          <w:sz w:val="24"/>
          <w:szCs w:val="24"/>
          <w:vertAlign w:val="superscript"/>
          <w:lang w:eastAsia="ru-RU"/>
        </w:rPr>
        <w:t>Мохандас</w:t>
      </w:r>
      <w:proofErr w:type="spellEnd"/>
      <w:r w:rsidRPr="0018371F">
        <w:rPr>
          <w:rFonts w:ascii="Georgia" w:eastAsia="Times New Roman" w:hAnsi="Georgia" w:cs="Times New Roman"/>
          <w:b/>
          <w:bCs/>
          <w:color w:val="444444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18371F">
        <w:rPr>
          <w:rFonts w:ascii="Georgia" w:eastAsia="Times New Roman" w:hAnsi="Georgia" w:cs="Times New Roman"/>
          <w:b/>
          <w:bCs/>
          <w:color w:val="444444"/>
          <w:sz w:val="24"/>
          <w:szCs w:val="24"/>
          <w:vertAlign w:val="superscript"/>
          <w:lang w:eastAsia="ru-RU"/>
        </w:rPr>
        <w:t>Карамчанд</w:t>
      </w:r>
      <w:proofErr w:type="spellEnd"/>
      <w:r w:rsidRPr="0018371F">
        <w:rPr>
          <w:rFonts w:ascii="Georgia" w:eastAsia="Times New Roman" w:hAnsi="Georgia" w:cs="Times New Roman"/>
          <w:b/>
          <w:bCs/>
          <w:color w:val="444444"/>
          <w:sz w:val="24"/>
          <w:szCs w:val="24"/>
          <w:vertAlign w:val="superscript"/>
          <w:lang w:eastAsia="ru-RU"/>
        </w:rPr>
        <w:t xml:space="preserve"> Ганди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Первая мировая война обострила противоречия между индийцами и британской колониальной администрацией, способствовала подъему национально-освободительного движения. Индийская буржуазия была недовольна дискриминацией и ограничениями, которые колониальные власти накладывали на их предпринимательскую деятельность. Трудящиеся были недовольны ухудшением своего положения в годы войны, высокими налогами и ростом цен. Запрещение носить оружие, неучастие в управлении страной было тем обиднее для индийцев, что их страна в Первую мировую поставила в британскую армию 985 тысяч солдат.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Закон об управлении Индией был принят английским парламентом в 1919 г. на основании доклада министра иностранных дел Монтегю и вице-короля Индии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Челмсфорда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 Этим законом предусматривалось создание двухпалатного законодательного органа при генерал-губернаторе, состоявшего из Государственного совета и Законодательного собрания. Реформа сохраняла принцип раздельных религиозных курий (что подогревало конфликт между мусульманами и индусами); право выбирать законодательные органы получило всего около 1 % населения Индии, в провинциальные — около 3 %.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Индийцам предоставлялись места в исполнительных советах при вице-короле и губернаторах провинций (в основном, второстепенные должности). Англичане по-прежнему полностью контролировали финансы, армию, полицию, все важнейшие отрасли экономики. Все это вызывало недовольство коренного населения. Протесты усилились, когда 18 марта 1919 г. был опубликован закон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Роулетта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 Он предусматривал усиление уголовных наказаний за антиправительственную деятельность.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По Индии прокатилась волна бунтов и вооруженных мятежей. 13 апреля 1919 г. британские войска расстреляли манифестацию в городе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Амритсар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, что лишь увеличило масштабы движения. В декабре 1920 г. на сессии Индийского Национального </w:t>
      </w:r>
      <w:proofErr w:type="gram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Конгресса[</w:t>
      </w:r>
      <w:proofErr w:type="gram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154] (ИНК) было решено начать кампанию «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несотрудничества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». Эта кампания сопровождалась бойкотом английских товаров, отказом от работы в английских учреждениях и т. д. В 1921 г. ИНК бойкотировал выборы в новые законодательные органы.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Признанным лидером национально-освободительного движения Индии в эти годы стал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Мохандас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Карамчанд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Ганди, получивший прозвище Махатма — «великая душа». Он родился в 1869 г. в знатной индийской семье. Получив в 1891 г. образование в Англии, Ганди занялся адвокатской практикой, затем служил юрисконсультом в Южной Африке, где возглавил борьбу против притеснения индийцев. В Индию Ганди возвратился в 1915 г. и активно занялся политической деятельностью. Выдающемуся пацифисту удалось превратить ИНК в массовую политическую организацию. В борьбе за независимость страны Ганди призывал объединяться людей без различия религий, национальности, касты и класса.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Махатма проповедовал возрождение кустарного ремесла, и особенно прядения и ткачества, что должно было освободить экономику страны от иностранной зависимости. (Проповедь «свадеши» — «отечественный» — посвящалась подъему национального хозяйства.) Разработанная им тактика ненасильственной борьбы получила название «сатьяграха» («упорство в истине»). Она заключалась в отказе от титулов, пожалованных англичанами, бойкоте правительств и учебных заведений, организации мирных демонстраций и политических забастовок, в исключительных случаях — отказе от уплаты налогов. При этом лидер ИНК постоянно искал компромисс с англичанами.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Движение «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несотрудничества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» нанесло колоссальные убытки английским фабрикантам. Индийцы отказывались покупать их ткани. Пиком кампании стало бойкотирование торжеств по случаю прибытия наследника английского престола. Власти начали массовые аресты. И тогда ИНК перешел от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несотрудничества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к неповиновению. Однако увидев, что индийцы не могут удержаться от насилия, руководство Конгресса отменило акцию.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1923–1927 гг. наблюдался определенный спад национального движения. Часть деятелей ИНК приняла участие в Законодательных собраниях, где образовали группу свараджистов (сторонников самоуправления). В 1927 г. в Конгрессе сложилось левое крыло во главе с Дж. Неру, требовавшее активизации борьбы.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 время мирового экономического кризиса 1929–1933 гг. в Индии упали цены на сельхозпродукты, что привело к обнищанию крестьян. Разорялись и ремесленники, и мелкие предприниматели. Отношения между индийцами и англичанами снова обострились. В 1930 г. ИНК объявил кампанию гражданского неповиновения. День 26 января Конгресс объявил Днем независимости Индии и призвал народ провести митинги и дать клятву до конца бороться за освобождение Индии.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30 января 1930 г. в газете «Молодая Индия» Ганди опубликовал обращение к вице-королю Ирвину, в котором заявлял, что готов отложить «сатьяграху», если правительство удовлетворит следующие требования: сократит земельный налог, ликвидирует монополию на соль, уменьшит расходы на военную и гражданскую администрацию, освободит из тюрем политзаключенных и т. д.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«Сатьяграха» должна была начаться с нарушения закона о соляной монополии. На 11 марта 1930 г. был назначен «Соляной поход». Участники должны были пройти путь в 400 км до берега Индийского океана, а там устроить показательное выпаривание соли из морской воды. Английские власти полагали, что это лишь чудачество, и не более того.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11 марта Ганди и 70 его сторонников вышли из города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Ахмадабад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в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Гуджарате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(Западная Индия). Они останавливались в каждой деревне и устраивали митинги, призывая поддержать кампанию неповиновения. Марш сразу приобрел необычайную популярность, чему способствовала и британская пресса, подробно освещавшая «Соляной поход». 6 апреля на берегу Аравийского моря в селении Данди состоялась символическая процедура выпаривания соли. Этот день был объявлен </w:t>
      </w:r>
      <w:proofErr w:type="gram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Днем</w:t>
      </w:r>
      <w:proofErr w:type="gram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начала национальной недели 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несотрудничества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 неповиновения. В крупных городах проходили многотысячные демонстрации за независимую Индию. Тысячи служащих увольнялись. «Добровольцы Конгресса» следили за тем, чтобы не происходило вспышек насилия, беспорядков и провокаций.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 апреле — мае было арестовано около 60 тысяч членов ИНК. В Калькутте и Пешаваре солдаты открыли стрельбу по мирным демонстрантам. В ночь на 5 мая был арестован Махатма Ганди. Ответом на это стала всеобщая забастовка. При этом большинство участников движения принципиально не прибегало к насилию. Симпатии всего цивилизованного мира оказались на стороне «</w:t>
      </w:r>
      <w:proofErr w:type="spellStart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сатьяграхов</w:t>
      </w:r>
      <w:proofErr w:type="spellEnd"/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».</w:t>
      </w:r>
    </w:p>
    <w:p w:rsidR="0018371F" w:rsidRPr="0018371F" w:rsidRDefault="0018371F" w:rsidP="00D61EA9">
      <w:pPr>
        <w:spacing w:before="288" w:after="288" w:line="240" w:lineRule="auto"/>
        <w:ind w:firstLine="708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25 января 1931 г. Ганди и еще 30 членов ИНК были освобождены из тюрьмы. Вице-король предложил индийскому лидеру сесть за стол переговоров. Ганди согласился на предложение Ирвина. ИНК должен был свернуть кампанию гражданского неповиновения и бойкота, а взамен англичане должны были амнистировать всех политических заключенных, отменить монополию на соль, разрешить вести пропаганду за независимость Индии, признать ИНК официальной политической партией. 4 марта 1931 г. «пакт Ганди — Ирвина» был подписан.</w:t>
      </w:r>
    </w:p>
    <w:p w:rsidR="0018371F" w:rsidRDefault="0018371F" w:rsidP="00D61EA9">
      <w:pPr>
        <w:spacing w:before="288" w:after="288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18371F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Впрочем, ненадолго, 4 января 1932 г. Ганди вновь был арестован.</w:t>
      </w:r>
    </w:p>
    <w:p w:rsidR="000F69B0" w:rsidRDefault="000F69B0" w:rsidP="00D61EA9">
      <w:pPr>
        <w:spacing w:before="288" w:after="288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</w:p>
    <w:p w:rsidR="000F69B0" w:rsidRPr="00501659" w:rsidRDefault="000F69B0" w:rsidP="000F69B0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r w:rsidRPr="000F69B0">
        <w:rPr>
          <w:rFonts w:ascii="Arial" w:hAnsi="Arial" w:cs="Arial"/>
          <w:b w:val="0"/>
          <w:bCs w:val="0"/>
          <w:sz w:val="32"/>
        </w:rPr>
        <w:t xml:space="preserve">Махатма ГАНДИ - полная биография и </w:t>
      </w:r>
      <w:proofErr w:type="gramStart"/>
      <w:r w:rsidRPr="000F69B0">
        <w:rPr>
          <w:rFonts w:ascii="Arial" w:hAnsi="Arial" w:cs="Arial"/>
          <w:b w:val="0"/>
          <w:bCs w:val="0"/>
          <w:sz w:val="32"/>
        </w:rPr>
        <w:t>достижения</w:t>
      </w:r>
      <w:r w:rsidR="00501659" w:rsidRPr="00501659">
        <w:rPr>
          <w:rFonts w:ascii="Arial" w:hAnsi="Arial" w:cs="Arial"/>
          <w:b w:val="0"/>
          <w:bCs w:val="0"/>
          <w:sz w:val="32"/>
        </w:rPr>
        <w:t xml:space="preserve">  13</w:t>
      </w:r>
      <w:proofErr w:type="gramEnd"/>
      <w:r w:rsidR="00501659" w:rsidRPr="00501659">
        <w:rPr>
          <w:rFonts w:ascii="Arial" w:hAnsi="Arial" w:cs="Arial"/>
          <w:b w:val="0"/>
          <w:bCs w:val="0"/>
          <w:sz w:val="32"/>
        </w:rPr>
        <w:t xml:space="preserve"> </w:t>
      </w:r>
      <w:r w:rsidR="00501659">
        <w:rPr>
          <w:rFonts w:ascii="Arial" w:hAnsi="Arial" w:cs="Arial"/>
          <w:b w:val="0"/>
          <w:bCs w:val="0"/>
          <w:sz w:val="32"/>
        </w:rPr>
        <w:t>мин.</w:t>
      </w:r>
    </w:p>
    <w:p w:rsidR="000F69B0" w:rsidRPr="0018371F" w:rsidRDefault="000F69B0" w:rsidP="000F69B0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F69B0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https://www.youtube.com/watch?v=nJB9PQo8Ul4</w:t>
      </w:r>
    </w:p>
    <w:p w:rsidR="00E96C27" w:rsidRDefault="00E96C27"/>
    <w:p w:rsidR="006F28EF" w:rsidRDefault="006F28EF"/>
    <w:p w:rsidR="006F28EF" w:rsidRPr="00231A14" w:rsidRDefault="006F28EF" w:rsidP="006F28E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231A14">
        <w:rPr>
          <w:rFonts w:ascii="Arial" w:hAnsi="Arial" w:cs="Arial"/>
          <w:b w:val="0"/>
          <w:bCs w:val="0"/>
          <w:sz w:val="40"/>
        </w:rPr>
        <w:t>Ганди - Путь Махатмы (часть 1)</w:t>
      </w:r>
    </w:p>
    <w:p w:rsidR="006F28EF" w:rsidRDefault="006F28EF">
      <w:hyperlink r:id="rId5" w:history="1">
        <w:r w:rsidRPr="00737E25">
          <w:rPr>
            <w:rStyle w:val="a4"/>
          </w:rPr>
          <w:t>https://www.youtube.com/watch?v=8gHFtO_HR0M</w:t>
        </w:r>
      </w:hyperlink>
    </w:p>
    <w:p w:rsidR="006F28EF" w:rsidRDefault="006F28EF"/>
    <w:p w:rsidR="006F28EF" w:rsidRPr="00231A14" w:rsidRDefault="006F28EF" w:rsidP="006F28E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231A14">
        <w:rPr>
          <w:rFonts w:ascii="Arial" w:hAnsi="Arial" w:cs="Arial"/>
          <w:b w:val="0"/>
          <w:bCs w:val="0"/>
          <w:sz w:val="40"/>
        </w:rPr>
        <w:t>Махатма Ганди - Дорога к славе (часть 2)</w:t>
      </w:r>
    </w:p>
    <w:p w:rsidR="006F28EF" w:rsidRDefault="00231A14">
      <w:r w:rsidRPr="00231A14">
        <w:t>https://www.youtube.com/watch?v=KswGcULnjrI&amp;t=61s</w:t>
      </w:r>
    </w:p>
    <w:p w:rsidR="00231A14" w:rsidRPr="00231A14" w:rsidRDefault="00231A14" w:rsidP="00231A1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231A14">
        <w:rPr>
          <w:rFonts w:ascii="Arial" w:hAnsi="Arial" w:cs="Arial"/>
          <w:b w:val="0"/>
          <w:bCs w:val="0"/>
          <w:sz w:val="40"/>
        </w:rPr>
        <w:t>Махатма Ганди - Дорога к свободе (часть 3)</w:t>
      </w:r>
    </w:p>
    <w:p w:rsidR="00ED5342" w:rsidRDefault="00231A14">
      <w:r w:rsidRPr="00231A14">
        <w:t>https://www.youtube.com/watch?v=7-2nswED0b8</w:t>
      </w:r>
    </w:p>
    <w:p w:rsidR="006F28EF" w:rsidRDefault="006F28EF">
      <w:bookmarkStart w:id="0" w:name="_GoBack"/>
      <w:bookmarkEnd w:id="0"/>
    </w:p>
    <w:p w:rsidR="00ED5342" w:rsidRPr="00ED5342" w:rsidRDefault="00ED5342" w:rsidP="00ED53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</w:rPr>
      </w:pPr>
      <w:r w:rsidRPr="00ED5342">
        <w:rPr>
          <w:rFonts w:ascii="Arial" w:hAnsi="Arial" w:cs="Arial"/>
          <w:b w:val="0"/>
          <w:bCs w:val="0"/>
          <w:sz w:val="36"/>
        </w:rPr>
        <w:t>Отец теории НЕНАСИЛИЯ Махатма Ганди 1869-1948. Почему ушли британцы из Индии.</w:t>
      </w:r>
    </w:p>
    <w:p w:rsidR="000F69B0" w:rsidRPr="00ED5342" w:rsidRDefault="00ED5342">
      <w:hyperlink r:id="rId6" w:history="1">
        <w:r w:rsidRPr="00737E25">
          <w:rPr>
            <w:rStyle w:val="a4"/>
          </w:rPr>
          <w:t>https://www.youtube.com/watch?v=VrWjEOkp1hE</w:t>
        </w:r>
      </w:hyperlink>
    </w:p>
    <w:p w:rsidR="00ED5342" w:rsidRPr="00ED5342" w:rsidRDefault="00ED5342"/>
    <w:p w:rsidR="00ED5342" w:rsidRPr="00231A14" w:rsidRDefault="00ED5342" w:rsidP="00ED53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  <w:lang w:val="en-US"/>
        </w:rPr>
      </w:pPr>
      <w:r w:rsidRPr="00231A14">
        <w:rPr>
          <w:rFonts w:ascii="Arial" w:hAnsi="Arial" w:cs="Arial"/>
          <w:b w:val="0"/>
          <w:bCs w:val="0"/>
          <w:sz w:val="40"/>
        </w:rPr>
        <w:t>"История жизни" Махатма Ганди.</w:t>
      </w:r>
      <w:r w:rsidRPr="00231A14">
        <w:rPr>
          <w:rFonts w:ascii="Arial" w:hAnsi="Arial" w:cs="Arial"/>
          <w:b w:val="0"/>
          <w:bCs w:val="0"/>
          <w:sz w:val="40"/>
        </w:rPr>
        <w:t xml:space="preserve"> 16 мин.</w:t>
      </w:r>
    </w:p>
    <w:p w:rsidR="00ED5342" w:rsidRPr="00ED5342" w:rsidRDefault="00ED5342">
      <w:r w:rsidRPr="00ED5342">
        <w:t>https://www.youtube.com/watch?v=tceeOld9oQM</w:t>
      </w:r>
    </w:p>
    <w:sectPr w:rsidR="00ED5342" w:rsidRPr="00ED5342" w:rsidSect="00D61E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1F"/>
    <w:rsid w:val="000F69B0"/>
    <w:rsid w:val="0018371F"/>
    <w:rsid w:val="00231A14"/>
    <w:rsid w:val="00501659"/>
    <w:rsid w:val="006F28EF"/>
    <w:rsid w:val="00D61EA9"/>
    <w:rsid w:val="00E96C27"/>
    <w:rsid w:val="00E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44C"/>
  <w15:chartTrackingRefBased/>
  <w15:docId w15:val="{F455A87E-FEEF-4C6B-ACB9-CCE3A5D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18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8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371F"/>
    <w:rPr>
      <w:b/>
      <w:bCs/>
    </w:rPr>
  </w:style>
  <w:style w:type="character" w:styleId="a4">
    <w:name w:val="Hyperlink"/>
    <w:basedOn w:val="a0"/>
    <w:uiPriority w:val="99"/>
    <w:unhideWhenUsed/>
    <w:rsid w:val="006F2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WjEOkp1hE" TargetMode="External"/><Relationship Id="rId5" Type="http://schemas.openxmlformats.org/officeDocument/2006/relationships/hyperlink" Target="https://www.youtube.com/watch?v=8gHFtO_HR0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2018-11-25T11:00:00Z</dcterms:created>
  <dcterms:modified xsi:type="dcterms:W3CDTF">2018-11-25T15:46:00Z</dcterms:modified>
</cp:coreProperties>
</file>