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7663D" w14:textId="1E74A612" w:rsidR="00A17A98" w:rsidRPr="00A17A98" w:rsidRDefault="00A17A98" w:rsidP="00A17A98">
      <w:pPr>
        <w:spacing w:after="240" w:line="840" w:lineRule="atLeast"/>
        <w:outlineLvl w:val="0"/>
        <w:rPr>
          <w:rFonts w:ascii="inherit" w:eastAsia="Times New Roman" w:hAnsi="inherit" w:cs="Times New Roman"/>
          <w:color w:val="000000"/>
          <w:kern w:val="36"/>
          <w:sz w:val="69"/>
          <w:szCs w:val="69"/>
          <w:lang w:val="ru-BY" w:eastAsia="ru-BY"/>
        </w:rPr>
      </w:pPr>
      <w:r>
        <w:rPr>
          <w:rFonts w:ascii="inherit" w:eastAsia="Times New Roman" w:hAnsi="inherit" w:cs="Times New Roman"/>
          <w:color w:val="000000"/>
          <w:kern w:val="36"/>
          <w:sz w:val="69"/>
          <w:szCs w:val="69"/>
          <w:lang w:val="ru-RU" w:eastAsia="ru-BY"/>
        </w:rPr>
        <w:t>Т</w:t>
      </w:r>
      <w:proofErr w:type="spellStart"/>
      <w:r w:rsidRPr="00A17A98">
        <w:rPr>
          <w:rFonts w:ascii="inherit" w:eastAsia="Times New Roman" w:hAnsi="inherit" w:cs="Times New Roman"/>
          <w:color w:val="000000"/>
          <w:kern w:val="36"/>
          <w:sz w:val="69"/>
          <w:szCs w:val="69"/>
          <w:lang w:val="ru-BY" w:eastAsia="ru-BY"/>
        </w:rPr>
        <w:t>аксономия</w:t>
      </w:r>
      <w:proofErr w:type="spellEnd"/>
      <w:r w:rsidRPr="00A17A98">
        <w:rPr>
          <w:rFonts w:ascii="inherit" w:eastAsia="Times New Roman" w:hAnsi="inherit" w:cs="Times New Roman"/>
          <w:color w:val="000000"/>
          <w:kern w:val="36"/>
          <w:sz w:val="69"/>
          <w:szCs w:val="69"/>
          <w:lang w:val="ru-BY" w:eastAsia="ru-BY"/>
        </w:rPr>
        <w:t xml:space="preserve"> Блума: что это такое и зачем она педагогам и методистам</w:t>
      </w:r>
    </w:p>
    <w:p w14:paraId="14EA18F7" w14:textId="77777777" w:rsidR="00A17A98" w:rsidRPr="00A17A98" w:rsidRDefault="00A17A98" w:rsidP="00A17A98">
      <w:pPr>
        <w:spacing w:line="45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val="ru-BY" w:eastAsia="ru-BY"/>
        </w:rPr>
      </w:pPr>
      <w:r w:rsidRPr="00A17A98">
        <w:rPr>
          <w:rFonts w:ascii="Times New Roman" w:eastAsia="Times New Roman" w:hAnsi="Times New Roman" w:cs="Times New Roman"/>
          <w:color w:val="000000"/>
          <w:sz w:val="30"/>
          <w:szCs w:val="30"/>
          <w:lang w:val="ru-BY" w:eastAsia="ru-BY"/>
        </w:rPr>
        <w:t>Одна из самых упоминаемых моделей в образовании на деле не так широко известна. А некоторые считают, что она приносит больше вреда, чем пользы.</w:t>
      </w:r>
    </w:p>
    <w:p w14:paraId="73CC774C" w14:textId="77777777" w:rsidR="00A17A98" w:rsidRPr="00A17A98" w:rsidRDefault="00A17A98" w:rsidP="00A17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  <w:t>Поделиться</w:t>
      </w:r>
    </w:p>
    <w:p w14:paraId="060987F6" w14:textId="408060F0" w:rsidR="00A17A98" w:rsidRPr="00A17A98" w:rsidRDefault="00A17A98" w:rsidP="00A17A98">
      <w:pPr>
        <w:spacing w:line="0" w:lineRule="auto"/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noProof/>
          <w:sz w:val="24"/>
          <w:szCs w:val="24"/>
          <w:lang w:val="ru-BY" w:eastAsia="ru-BY"/>
        </w:rPr>
        <w:drawing>
          <wp:inline distT="0" distB="0" distL="0" distR="0" wp14:anchorId="480C23FD" wp14:editId="57A3C318">
            <wp:extent cx="5940425" cy="203009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1AAD4" w14:textId="77777777" w:rsidR="00A17A98" w:rsidRPr="00A17A98" w:rsidRDefault="00A17A98" w:rsidP="00A17A98">
      <w:pPr>
        <w:spacing w:after="600" w:line="270" w:lineRule="atLeast"/>
        <w:rPr>
          <w:rFonts w:ascii="Times New Roman" w:eastAsia="Times New Roman" w:hAnsi="Times New Roman" w:cs="Times New Roman"/>
          <w:color w:val="A6A4A0"/>
          <w:sz w:val="18"/>
          <w:szCs w:val="18"/>
          <w:lang w:val="ru-BY" w:eastAsia="ru-BY"/>
        </w:rPr>
      </w:pPr>
      <w:r w:rsidRPr="00A17A98">
        <w:rPr>
          <w:rFonts w:ascii="Times New Roman" w:eastAsia="Times New Roman" w:hAnsi="Times New Roman" w:cs="Times New Roman"/>
          <w:color w:val="A6A4A0"/>
          <w:sz w:val="18"/>
          <w:szCs w:val="18"/>
          <w:lang w:val="ru-BY" w:eastAsia="ru-BY"/>
        </w:rPr>
        <w:t xml:space="preserve">Иллюстрация: </w:t>
      </w:r>
      <w:proofErr w:type="spellStart"/>
      <w:r w:rsidRPr="00A17A98">
        <w:rPr>
          <w:rFonts w:ascii="Times New Roman" w:eastAsia="Times New Roman" w:hAnsi="Times New Roman" w:cs="Times New Roman"/>
          <w:color w:val="A6A4A0"/>
          <w:sz w:val="18"/>
          <w:szCs w:val="18"/>
          <w:lang w:val="ru-BY" w:eastAsia="ru-BY"/>
        </w:rPr>
        <w:t>Polina</w:t>
      </w:r>
      <w:proofErr w:type="spellEnd"/>
      <w:r w:rsidRPr="00A17A98">
        <w:rPr>
          <w:rFonts w:ascii="Times New Roman" w:eastAsia="Times New Roman" w:hAnsi="Times New Roman" w:cs="Times New Roman"/>
          <w:color w:val="A6A4A0"/>
          <w:sz w:val="18"/>
          <w:szCs w:val="18"/>
          <w:lang w:val="ru-BY" w:eastAsia="ru-BY"/>
        </w:rPr>
        <w:t xml:space="preserve"> </w:t>
      </w:r>
      <w:proofErr w:type="spellStart"/>
      <w:r w:rsidRPr="00A17A98">
        <w:rPr>
          <w:rFonts w:ascii="Times New Roman" w:eastAsia="Times New Roman" w:hAnsi="Times New Roman" w:cs="Times New Roman"/>
          <w:color w:val="A6A4A0"/>
          <w:sz w:val="18"/>
          <w:szCs w:val="18"/>
          <w:lang w:val="ru-BY" w:eastAsia="ru-BY"/>
        </w:rPr>
        <w:t>Vari</w:t>
      </w:r>
      <w:proofErr w:type="spellEnd"/>
      <w:r w:rsidRPr="00A17A98">
        <w:rPr>
          <w:rFonts w:ascii="Times New Roman" w:eastAsia="Times New Roman" w:hAnsi="Times New Roman" w:cs="Times New Roman"/>
          <w:color w:val="A6A4A0"/>
          <w:sz w:val="18"/>
          <w:szCs w:val="18"/>
          <w:lang w:val="ru-BY" w:eastAsia="ru-BY"/>
        </w:rPr>
        <w:t xml:space="preserve"> для </w:t>
      </w:r>
      <w:proofErr w:type="spellStart"/>
      <w:r w:rsidRPr="00A17A98">
        <w:rPr>
          <w:rFonts w:ascii="Times New Roman" w:eastAsia="Times New Roman" w:hAnsi="Times New Roman" w:cs="Times New Roman"/>
          <w:color w:val="A6A4A0"/>
          <w:sz w:val="18"/>
          <w:szCs w:val="18"/>
          <w:lang w:val="ru-BY" w:eastAsia="ru-BY"/>
        </w:rPr>
        <w:t>Skillbox</w:t>
      </w:r>
      <w:proofErr w:type="spellEnd"/>
      <w:r w:rsidRPr="00A17A98">
        <w:rPr>
          <w:rFonts w:ascii="Times New Roman" w:eastAsia="Times New Roman" w:hAnsi="Times New Roman" w:cs="Times New Roman"/>
          <w:color w:val="A6A4A0"/>
          <w:sz w:val="18"/>
          <w:szCs w:val="18"/>
          <w:lang w:val="ru-BY" w:eastAsia="ru-BY"/>
        </w:rPr>
        <w:t xml:space="preserve"> Media</w:t>
      </w:r>
    </w:p>
    <w:p w14:paraId="58F36546" w14:textId="09506730" w:rsidR="00A17A98" w:rsidRPr="00A17A98" w:rsidRDefault="00A17A98" w:rsidP="00A17A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BY" w:eastAsia="ru-BY"/>
        </w:rPr>
        <w:drawing>
          <wp:inline distT="0" distB="0" distL="0" distR="0" wp14:anchorId="14CD7821" wp14:editId="03986B13">
            <wp:extent cx="3783330" cy="3808730"/>
            <wp:effectExtent l="0" t="0" r="0" b="0"/>
            <wp:docPr id="12" name="Рисунок 12" descr="Анна Судейская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на Судейская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11B9B" w14:textId="77777777" w:rsidR="00A17A98" w:rsidRPr="00A17A98" w:rsidRDefault="00A17A98" w:rsidP="00A17A98">
      <w:pPr>
        <w:spacing w:after="120" w:line="300" w:lineRule="atLeast"/>
        <w:rPr>
          <w:rFonts w:ascii="Times New Roman" w:eastAsia="Times New Roman" w:hAnsi="Times New Roman" w:cs="Times New Roman"/>
          <w:sz w:val="21"/>
          <w:szCs w:val="21"/>
          <w:lang w:val="ru-BY" w:eastAsia="ru-BY"/>
        </w:rPr>
      </w:pPr>
      <w:r w:rsidRPr="00A17A98">
        <w:rPr>
          <w:rFonts w:ascii="Times New Roman" w:eastAsia="Times New Roman" w:hAnsi="Times New Roman" w:cs="Times New Roman"/>
          <w:sz w:val="21"/>
          <w:szCs w:val="21"/>
          <w:lang w:val="ru-BY" w:eastAsia="ru-BY"/>
        </w:rPr>
        <w:lastRenderedPageBreak/>
        <w:t>Анна Судейская</w:t>
      </w:r>
    </w:p>
    <w:p w14:paraId="500CAF5F" w14:textId="77777777" w:rsidR="00A17A98" w:rsidRPr="00A17A98" w:rsidRDefault="00A17A98" w:rsidP="00A17A98">
      <w:pPr>
        <w:spacing w:line="270" w:lineRule="atLeast"/>
        <w:rPr>
          <w:rFonts w:ascii="Times New Roman" w:eastAsia="Times New Roman" w:hAnsi="Times New Roman" w:cs="Times New Roman"/>
          <w:sz w:val="18"/>
          <w:szCs w:val="18"/>
          <w:lang w:val="ru-BY" w:eastAsia="ru-BY"/>
        </w:rPr>
      </w:pPr>
      <w:r w:rsidRPr="00A17A98">
        <w:rPr>
          <w:rFonts w:ascii="Times New Roman" w:eastAsia="Times New Roman" w:hAnsi="Times New Roman" w:cs="Times New Roman"/>
          <w:sz w:val="18"/>
          <w:szCs w:val="18"/>
          <w:lang w:val="ru-BY" w:eastAsia="ru-BY"/>
        </w:rPr>
        <w:t xml:space="preserve">Редактор направления «Образование» </w:t>
      </w:r>
      <w:proofErr w:type="spellStart"/>
      <w:r w:rsidRPr="00A17A98">
        <w:rPr>
          <w:rFonts w:ascii="Times New Roman" w:eastAsia="Times New Roman" w:hAnsi="Times New Roman" w:cs="Times New Roman"/>
          <w:sz w:val="18"/>
          <w:szCs w:val="18"/>
          <w:lang w:val="ru-BY" w:eastAsia="ru-BY"/>
        </w:rPr>
        <w:t>Skillbox</w:t>
      </w:r>
      <w:proofErr w:type="spellEnd"/>
      <w:r w:rsidRPr="00A17A98">
        <w:rPr>
          <w:rFonts w:ascii="Times New Roman" w:eastAsia="Times New Roman" w:hAnsi="Times New Roman" w:cs="Times New Roman"/>
          <w:sz w:val="18"/>
          <w:szCs w:val="18"/>
          <w:lang w:val="ru-BY" w:eastAsia="ru-BY"/>
        </w:rPr>
        <w:t xml:space="preserve"> Media.</w:t>
      </w:r>
    </w:p>
    <w:p w14:paraId="11B0B3D8" w14:textId="561562E4" w:rsidR="00A17A98" w:rsidRPr="00A17A98" w:rsidRDefault="00A17A98" w:rsidP="00A17A98">
      <w:pPr>
        <w:shd w:val="clear" w:color="auto" w:fill="F7F7F5"/>
        <w:spacing w:line="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noProof/>
          <w:sz w:val="24"/>
          <w:szCs w:val="24"/>
          <w:lang w:val="ru-BY" w:eastAsia="ru-BY"/>
        </w:rPr>
        <mc:AlternateContent>
          <mc:Choice Requires="wps">
            <w:drawing>
              <wp:inline distT="0" distB="0" distL="0" distR="0" wp14:anchorId="29864DF3" wp14:editId="02D8E6A8">
                <wp:extent cx="1376045" cy="1376045"/>
                <wp:effectExtent l="0" t="0" r="0" b="0"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76045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3B575D" id="Прямоугольник 11" o:spid="_x0000_s1026" style="width:108.35pt;height:10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42F02143" w14:textId="77777777" w:rsidR="00A17A98" w:rsidRPr="00A17A98" w:rsidRDefault="00A17A98" w:rsidP="00A17A98">
      <w:pPr>
        <w:shd w:val="clear" w:color="auto" w:fill="F7F7F5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val="ru-BY" w:eastAsia="ru-BY"/>
        </w:rPr>
      </w:pPr>
      <w:r w:rsidRPr="00A17A98">
        <w:rPr>
          <w:rFonts w:ascii="Times New Roman" w:eastAsia="Times New Roman" w:hAnsi="Times New Roman" w:cs="Times New Roman"/>
          <w:color w:val="000000"/>
          <w:sz w:val="30"/>
          <w:szCs w:val="30"/>
          <w:lang w:val="ru-BY" w:eastAsia="ru-BY"/>
        </w:rPr>
        <w:t>За какие профессии в образовании хорошо платят?</w:t>
      </w:r>
    </w:p>
    <w:p w14:paraId="1138DF3C" w14:textId="77777777" w:rsidR="00A17A98" w:rsidRPr="00A17A98" w:rsidRDefault="00A17A98" w:rsidP="00A17A98">
      <w:pPr>
        <w:shd w:val="clear" w:color="auto" w:fill="F7F7F5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</w:pPr>
      <w:hyperlink r:id="rId8" w:tgtFrame="_blank" w:history="1">
        <w:r w:rsidRPr="00A17A98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val="ru-BY" w:eastAsia="ru-BY"/>
          </w:rPr>
          <w:t>Подробнее</w:t>
        </w:r>
      </w:hyperlink>
    </w:p>
    <w:p w14:paraId="4DD8B6BF" w14:textId="77777777" w:rsidR="00A17A98" w:rsidRPr="00A17A98" w:rsidRDefault="00A17A98" w:rsidP="00A17A98">
      <w:pPr>
        <w:spacing w:before="300" w:after="45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CCCCFF"/>
          <w:lang w:val="ru-BY" w:eastAsia="ru-BY"/>
        </w:rPr>
      </w:pPr>
      <w:r w:rsidRPr="00A17A98"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  <w:fldChar w:fldCharType="begin"/>
      </w:r>
      <w:r w:rsidRPr="00A17A98"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  <w:instrText xml:space="preserve"> HYPERLINK "https://skillbox.ru/course/profession-methodist/" \t "_blank" </w:instrText>
      </w:r>
      <w:r w:rsidRPr="00A17A98"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  <w:fldChar w:fldCharType="separate"/>
      </w:r>
    </w:p>
    <w:p w14:paraId="0DE78ED6" w14:textId="7C0C9997" w:rsidR="00A17A98" w:rsidRPr="00A17A98" w:rsidRDefault="00A17A98" w:rsidP="00A17A98">
      <w:pPr>
        <w:spacing w:before="300" w:after="450" w:line="240" w:lineRule="auto"/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CCCCFF"/>
          <w:lang w:val="ru-BY" w:eastAsia="ru-BY"/>
        </w:rPr>
        <mc:AlternateContent>
          <mc:Choice Requires="wps">
            <w:drawing>
              <wp:inline distT="0" distB="0" distL="0" distR="0" wp14:anchorId="20693374" wp14:editId="2DB7B7A2">
                <wp:extent cx="302260" cy="302260"/>
                <wp:effectExtent l="0" t="0" r="0" b="0"/>
                <wp:docPr id="10" name="Прямоугольник 10">
                  <a:hlinkClick xmlns:a="http://schemas.openxmlformats.org/drawingml/2006/main" r:id="rId9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F97C8E" id="Прямоугольник 10" o:spid="_x0000_s1026" href="https://skillbox.ru/course/profession-methodist/" target="&quot;_blank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075F6C3B" w14:textId="77777777" w:rsidR="00A17A98" w:rsidRPr="00A17A98" w:rsidRDefault="00A17A98" w:rsidP="00A17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CCCCFF"/>
          <w:lang w:val="ru-BY" w:eastAsia="ru-BY"/>
        </w:rPr>
        <w:t xml:space="preserve">Обучение: Профессия Методист с нуля до </w:t>
      </w:r>
      <w:proofErr w:type="spellStart"/>
      <w:r w:rsidRPr="00A17A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CCCCFF"/>
          <w:lang w:val="ru-BY" w:eastAsia="ru-BY"/>
        </w:rPr>
        <w:t>PRO</w:t>
      </w:r>
      <w:r w:rsidRPr="00A17A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CCCCFF"/>
          <w:lang w:val="ru-BY" w:eastAsia="ru-BY"/>
        </w:rPr>
        <w:t>Узнать</w:t>
      </w:r>
      <w:proofErr w:type="spellEnd"/>
      <w:r w:rsidRPr="00A17A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CCCCFF"/>
          <w:lang w:val="ru-BY" w:eastAsia="ru-BY"/>
        </w:rPr>
        <w:t xml:space="preserve"> больше</w:t>
      </w:r>
      <w:r w:rsidRPr="00A17A98"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  <w:fldChar w:fldCharType="end"/>
      </w:r>
    </w:p>
    <w:p w14:paraId="72C7C7A8" w14:textId="77777777" w:rsidR="00A17A98" w:rsidRPr="00A17A98" w:rsidRDefault="00A17A98" w:rsidP="00A17A98">
      <w:pPr>
        <w:shd w:val="clear" w:color="auto" w:fill="FFFFFF"/>
        <w:spacing w:after="0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 xml:space="preserve">«Одна из самых цитируемых и самая </w:t>
      </w:r>
      <w:proofErr w:type="spellStart"/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малочитаемая</w:t>
      </w:r>
      <w:proofErr w:type="spellEnd"/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 xml:space="preserve"> в американском образовании», — так говорил Бенджамин Блум о первом томе книги по таксономии учебных целей (</w:t>
      </w:r>
      <w:proofErr w:type="spellStart"/>
      <w:r w:rsidRPr="00A17A98">
        <w:rPr>
          <w:rFonts w:ascii="stk" w:eastAsia="Times New Roman" w:hAnsi="stk" w:cs="Times New Roman"/>
          <w:i/>
          <w:iCs/>
          <w:color w:val="000000"/>
          <w:sz w:val="24"/>
          <w:szCs w:val="24"/>
          <w:bdr w:val="none" w:sz="0" w:space="0" w:color="auto" w:frame="1"/>
          <w:lang w:val="ru-BY" w:eastAsia="ru-BY"/>
        </w:rPr>
        <w:t>Handbook</w:t>
      </w:r>
      <w:proofErr w:type="spellEnd"/>
      <w:r w:rsidRPr="00A17A98">
        <w:rPr>
          <w:rFonts w:ascii="stk" w:eastAsia="Times New Roman" w:hAnsi="stk" w:cs="Times New Roman"/>
          <w:i/>
          <w:iCs/>
          <w:color w:val="000000"/>
          <w:sz w:val="24"/>
          <w:szCs w:val="24"/>
          <w:bdr w:val="none" w:sz="0" w:space="0" w:color="auto" w:frame="1"/>
          <w:lang w:val="ru-BY" w:eastAsia="ru-BY"/>
        </w:rPr>
        <w:t xml:space="preserve"> I: Cognitive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), которая получила заслуженную славу не только на родине её создателя, но и во всём мире. Эти слова можно перенести и на саму таксономию Блума — картинку видели многие, но вот что за ней стоит, далеко не всегда знают.</w:t>
      </w:r>
    </w:p>
    <w:p w14:paraId="75436905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outlineLvl w:val="1"/>
        <w:rPr>
          <w:rFonts w:ascii="stk" w:eastAsia="Times New Roman" w:hAnsi="stk" w:cs="Times New Roman"/>
          <w:b/>
          <w:bCs/>
          <w:color w:val="000000"/>
          <w:sz w:val="36"/>
          <w:szCs w:val="36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36"/>
          <w:szCs w:val="36"/>
          <w:lang w:val="ru-BY" w:eastAsia="ru-BY"/>
        </w:rPr>
        <w:t>Что такое таксономия Блума</w:t>
      </w:r>
    </w:p>
    <w:p w14:paraId="3620E1B9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Таксономия Блума — это система учебных целей, которые классифицированы по принципу «от простого к сложному». На практике она служит своеобразным навигатором: с её помощью педагогам и методистам удобно выстраивать как отдельные занятия, так и целые программы, находить нужные задачи и инструменты оценивания под каждый этап обучения.</w:t>
      </w:r>
    </w:p>
    <w:p w14:paraId="26804841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Оригинальная таксономия Блума включала шесть уровней: базовым было «знание», за которым следовали операции и связанные с ним навыки — понимание, применение, анализ, синтез и оценка. Каждый уровень включал в себя ряд когнитивных действий, которые он предполагает, сформулированных в виде глаголов. Так, уровень «понимание» включал глаголы «описать», «объяснить», «определить признаки», «сформулировать иначе».</w:t>
      </w:r>
    </w:p>
    <w:p w14:paraId="2260BB7C" w14:textId="2F0F1AE7" w:rsidR="00A17A98" w:rsidRPr="00A17A98" w:rsidRDefault="00A17A98" w:rsidP="00A17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BY" w:eastAsia="ru-BY"/>
        </w:rPr>
        <w:lastRenderedPageBreak/>
        <w:drawing>
          <wp:inline distT="0" distB="0" distL="0" distR="0" wp14:anchorId="7EE7AA40" wp14:editId="36C14209">
            <wp:extent cx="5940425" cy="33407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3DAA" w14:textId="77777777" w:rsidR="00A17A98" w:rsidRPr="00A17A98" w:rsidRDefault="00A17A98" w:rsidP="00A17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Бенджамин Сэмюэл Блум</w:t>
      </w:r>
      <w:r w:rsidRPr="00A17A98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br/>
      </w:r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 xml:space="preserve">Фото: </w:t>
      </w:r>
      <w:proofErr w:type="spellStart"/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>Hungarian</w:t>
      </w:r>
      <w:proofErr w:type="spellEnd"/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 xml:space="preserve"> Online University (okt.ektf.hu)</w:t>
      </w:r>
    </w:p>
    <w:p w14:paraId="081B96C0" w14:textId="77777777" w:rsidR="00A17A98" w:rsidRPr="00A17A98" w:rsidRDefault="00A17A98" w:rsidP="00A17A98">
      <w:pPr>
        <w:shd w:val="clear" w:color="auto" w:fill="FFFFFF"/>
        <w:spacing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Таксономия представляла собой понятную иерархию учебных целей и задавала рамку учебной программы и результатов обучения.</w:t>
      </w:r>
    </w:p>
    <w:p w14:paraId="2572FE1F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outlineLvl w:val="1"/>
        <w:rPr>
          <w:rFonts w:ascii="stk" w:eastAsia="Times New Roman" w:hAnsi="stk" w:cs="Times New Roman"/>
          <w:b/>
          <w:bCs/>
          <w:color w:val="000000"/>
          <w:sz w:val="36"/>
          <w:szCs w:val="36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36"/>
          <w:szCs w:val="36"/>
          <w:lang w:val="ru-BY" w:eastAsia="ru-BY"/>
        </w:rPr>
        <w:t>Кто создал таксономию Блума</w:t>
      </w:r>
    </w:p>
    <w:p w14:paraId="478BB1D8" w14:textId="77777777" w:rsidR="00A17A98" w:rsidRPr="00A17A98" w:rsidRDefault="00A17A98" w:rsidP="00A17A98">
      <w:pPr>
        <w:shd w:val="clear" w:color="auto" w:fill="FFFFFF"/>
        <w:spacing w:after="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Таксономия была создана в 1956 году группой учёных из Чикагского университета, её возглавлял известный американский психолог </w:t>
      </w: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Бенджамин Блум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. Своё имя она получила в его честь, да и сам термин «таксономия» тоже используется именно по настоянию этого учёного. Это слово — всего лишь синоним классификации, просто Блум посчитал его наиболее удачным. И хотя большинство коллег сочли, что можно использовать слова попроще (и аналогии уместнее), название сохранилось до наших дней.</w:t>
      </w:r>
    </w:p>
    <w:p w14:paraId="5532895A" w14:textId="5EBD6943" w:rsidR="00A17A98" w:rsidRPr="00A17A98" w:rsidRDefault="00A17A98" w:rsidP="00A17A98">
      <w:pPr>
        <w:shd w:val="clear" w:color="auto" w:fill="FEF5E0"/>
        <w:spacing w:after="0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noProof/>
          <w:color w:val="000000"/>
          <w:sz w:val="24"/>
          <w:szCs w:val="24"/>
          <w:lang w:val="ru-BY" w:eastAsia="ru-BY"/>
        </w:rPr>
        <mc:AlternateContent>
          <mc:Choice Requires="wps">
            <w:drawing>
              <wp:inline distT="0" distB="0" distL="0" distR="0" wp14:anchorId="187B5389" wp14:editId="5D63F511">
                <wp:extent cx="302260" cy="30226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BB3117" id="Прямоугольник 8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0ECC3264" w14:textId="77777777" w:rsidR="00A17A98" w:rsidRPr="00A17A98" w:rsidRDefault="00A17A98" w:rsidP="00A17A98">
      <w:pPr>
        <w:shd w:val="clear" w:color="auto" w:fill="FEF5E0"/>
        <w:spacing w:after="0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Стоит отметить, что модель, появившаяся в 1956 году, касается только </w:t>
      </w: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когнитивной сферы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, то есть сферы освоения знаний. До сих пор именно в таком контексте и говорят о таксономии Блума. Однако с течением времени учёные разработали ещё две классификации — для </w:t>
      </w: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аффективной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(эмоции) и </w:t>
      </w: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психомоторной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(действия)</w:t>
      </w: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 сфер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. Их иногда тоже называют таксономиями Блума или считают продолжением его работы, но на деле это неверно. Если аффективную знаменитый психолог действительно помогал разрабатывать, то в создании таксономии для психомоторной сферы никак не участвовал.</w:t>
      </w:r>
    </w:p>
    <w:p w14:paraId="4AB5E0FF" w14:textId="77777777" w:rsidR="00A17A98" w:rsidRPr="00A17A98" w:rsidRDefault="00A17A98" w:rsidP="00A17A98">
      <w:pPr>
        <w:shd w:val="clear" w:color="auto" w:fill="FFFFFF"/>
        <w:spacing w:after="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Есть ещё одно важное уточнение: </w:t>
      </w: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в 2001 году таксономию </w:t>
      </w:r>
      <w:hyperlink r:id="rId11" w:tgtFrame="_blank" w:history="1">
        <w:r w:rsidRPr="00A17A98">
          <w:rPr>
            <w:rFonts w:ascii="stk" w:eastAsia="Times New Roman" w:hAnsi="stk" w:cs="Times New Roman"/>
            <w:b/>
            <w:bCs/>
            <w:color w:val="0000FF"/>
            <w:sz w:val="24"/>
            <w:szCs w:val="24"/>
            <w:bdr w:val="none" w:sz="0" w:space="0" w:color="auto" w:frame="1"/>
            <w:lang w:val="ru-BY" w:eastAsia="ru-BY"/>
          </w:rPr>
          <w:t>пересмотрела</w:t>
        </w:r>
      </w:hyperlink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другая группа учёных. Они действовали под руководством коллеги Блума </w:t>
      </w: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 xml:space="preserve">Дэвида </w:t>
      </w:r>
      <w:proofErr w:type="spellStart"/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Крэтвола</w:t>
      </w:r>
      <w:proofErr w:type="spellEnd"/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(он был ведущим учёным в группе, создавшей первую систему) и ученика Блума </w:t>
      </w: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Лорина Андерсона.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Те, во-первых, модернизировали таксономию, а во-вторых — сделали её удобнее для педагогов и методистов.</w:t>
      </w:r>
    </w:p>
    <w:p w14:paraId="3E857918" w14:textId="14A97A97" w:rsidR="00A17A98" w:rsidRPr="00A17A98" w:rsidRDefault="00A17A98" w:rsidP="00A17A98">
      <w:pPr>
        <w:shd w:val="clear" w:color="auto" w:fill="FEF5E0"/>
        <w:spacing w:after="0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noProof/>
          <w:color w:val="000000"/>
          <w:sz w:val="24"/>
          <w:szCs w:val="24"/>
          <w:lang w:val="ru-BY" w:eastAsia="ru-BY"/>
        </w:rPr>
        <mc:AlternateContent>
          <mc:Choice Requires="wps">
            <w:drawing>
              <wp:inline distT="0" distB="0" distL="0" distR="0" wp14:anchorId="4E407307" wp14:editId="29ED6E34">
                <wp:extent cx="302260" cy="30226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AF4933" id="Прямоугольник 7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21835B1F" w14:textId="77777777" w:rsidR="00A17A98" w:rsidRPr="00A17A98" w:rsidRDefault="00A17A98" w:rsidP="00A17A98">
      <w:pPr>
        <w:shd w:val="clear" w:color="auto" w:fill="FEF5E0"/>
        <w:spacing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lastRenderedPageBreak/>
        <w:t xml:space="preserve">Сегодня по всему миру используют именно эту систему — изменённую и дополненную. Называют её по-прежнему таксономией Блума, хотя в некоторых зарубежных источниках используют и название </w:t>
      </w:r>
      <w:proofErr w:type="spellStart"/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revised</w:t>
      </w:r>
      <w:proofErr w:type="spellEnd"/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 xml:space="preserve"> </w:t>
      </w:r>
      <w:proofErr w:type="spellStart"/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taxonomy</w:t>
      </w:r>
      <w:proofErr w:type="spellEnd"/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, то есть </w:t>
      </w: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пересмотренная таксономия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.</w:t>
      </w:r>
    </w:p>
    <w:p w14:paraId="474B8017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outlineLvl w:val="1"/>
        <w:rPr>
          <w:rFonts w:ascii="stk" w:eastAsia="Times New Roman" w:hAnsi="stk" w:cs="Times New Roman"/>
          <w:b/>
          <w:bCs/>
          <w:color w:val="000000"/>
          <w:sz w:val="36"/>
          <w:szCs w:val="36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36"/>
          <w:szCs w:val="36"/>
          <w:lang w:val="ru-BY" w:eastAsia="ru-BY"/>
        </w:rPr>
        <w:t>Как выглядит пересмотренная таксономия Блума</w:t>
      </w:r>
    </w:p>
    <w:p w14:paraId="367DC54D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Иерархию учебных целей (и первую, и вторую) обычно изображают как пирамиду — в её основании самые базовые цели и соответствующие им навыки, а на пике — сложные и многокомпонентные.</w:t>
      </w:r>
    </w:p>
    <w:p w14:paraId="1206F7BD" w14:textId="4272023B" w:rsidR="00A17A98" w:rsidRPr="00A17A98" w:rsidRDefault="00A17A98" w:rsidP="00A17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BY" w:eastAsia="ru-BY"/>
        </w:rPr>
        <w:drawing>
          <wp:inline distT="0" distB="0" distL="0" distR="0" wp14:anchorId="1989BF98" wp14:editId="3CCA92E4">
            <wp:extent cx="5940425" cy="3340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BC31" w14:textId="77777777" w:rsidR="00A17A98" w:rsidRPr="00A17A98" w:rsidRDefault="00A17A98" w:rsidP="00A17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Таксономия Блума 2001 года</w:t>
      </w:r>
      <w:r w:rsidRPr="00A17A98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br/>
      </w:r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 xml:space="preserve">Инфографика: Евгений Рыбкин / </w:t>
      </w:r>
      <w:proofErr w:type="spellStart"/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>Skillbox</w:t>
      </w:r>
      <w:proofErr w:type="spellEnd"/>
    </w:p>
    <w:p w14:paraId="23F275ED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При этом считается, что каждый новый уровень как бы продолжает следующий. То есть, чтобы перейти к целям высшего порядка, сначала нужно разобраться с низшими. В новой уровни обозначены в глагольной форме, хотя на русском языке для их обозначения продолжают использовать существительные.</w:t>
      </w:r>
    </w:p>
    <w:p w14:paraId="27A2BB93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Первая таксономия была «одномерной», то есть включала только когнитивные операции со знанием. А вот новая уже «двухмерная» —  она учитывает операции с разными типами знаний.</w:t>
      </w:r>
    </w:p>
    <w:p w14:paraId="2902ABE7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Сначала стоит разобрать каждый уровень когнитивных действий в таксономии 2001 года. В таблице ниже слева указан уровень, в середине — что он подразумевает, а справа — какие когнитивные процессы с ним связывают.</w:t>
      </w:r>
    </w:p>
    <w:p w14:paraId="66898AEB" w14:textId="69532DE4" w:rsidR="00A17A98" w:rsidRPr="00A17A98" w:rsidRDefault="00A17A98" w:rsidP="00A17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BY" w:eastAsia="ru-BY"/>
        </w:rPr>
        <w:lastRenderedPageBreak/>
        <w:drawing>
          <wp:inline distT="0" distB="0" distL="0" distR="0" wp14:anchorId="5487DAD9" wp14:editId="76D520AB">
            <wp:extent cx="5940425" cy="6235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33695" w14:textId="77777777" w:rsidR="00A17A98" w:rsidRPr="00A17A98" w:rsidRDefault="00A17A98" w:rsidP="00A17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 xml:space="preserve">Инфографика: Майя </w:t>
      </w:r>
      <w:proofErr w:type="spellStart"/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>Мальгина</w:t>
      </w:r>
      <w:proofErr w:type="spellEnd"/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 xml:space="preserve"> для </w:t>
      </w:r>
      <w:proofErr w:type="spellStart"/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>Skillbox</w:t>
      </w:r>
      <w:proofErr w:type="spellEnd"/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 xml:space="preserve"> Media</w:t>
      </w:r>
    </w:p>
    <w:p w14:paraId="2171CA79" w14:textId="77777777" w:rsidR="00A17A98" w:rsidRPr="00A17A98" w:rsidRDefault="00A17A98" w:rsidP="00A17A98">
      <w:pPr>
        <w:shd w:val="clear" w:color="auto" w:fill="FFFFFF"/>
        <w:spacing w:after="195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В первой версии таксономии знания были в основе всей иерархии. На деле это создавало много проблем, потому что мало кто из практикующих педагогов понимал, что под одним словом учёные подразумевали разные категории знаний. В 1956 году их было три, а теперь к ним добавилась ещё одна, и их стало четыре:</w:t>
      </w:r>
    </w:p>
    <w:p w14:paraId="25713D5B" w14:textId="77777777" w:rsidR="00A17A98" w:rsidRPr="00A17A98" w:rsidRDefault="00A17A98" w:rsidP="00A17A98">
      <w:pPr>
        <w:numPr>
          <w:ilvl w:val="0"/>
          <w:numId w:val="1"/>
        </w:numPr>
        <w:shd w:val="clear" w:color="auto" w:fill="FFFFFF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Знания фактов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— базовый материал, который учащиеся должны знать, чтобы овладеть новым материалом или решить определённую задачу. Сюда относится, например, знание терминов, определений, символов и так далее.</w:t>
      </w:r>
    </w:p>
    <w:p w14:paraId="044B84C9" w14:textId="77777777" w:rsidR="00A17A98" w:rsidRPr="00A17A98" w:rsidRDefault="00A17A98" w:rsidP="00A17A98">
      <w:pPr>
        <w:numPr>
          <w:ilvl w:val="0"/>
          <w:numId w:val="1"/>
        </w:numPr>
        <w:shd w:val="clear" w:color="auto" w:fill="FFFFFF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Концептуальные знания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— взаимосвязи между элементами базового материала и элементами с общей структурой. Проще говоря, это способность связать часть с целым.</w:t>
      </w:r>
    </w:p>
    <w:p w14:paraId="6031B363" w14:textId="77777777" w:rsidR="00A17A98" w:rsidRPr="00A17A98" w:rsidRDefault="00A17A98" w:rsidP="00A17A98">
      <w:pPr>
        <w:numPr>
          <w:ilvl w:val="0"/>
          <w:numId w:val="1"/>
        </w:numPr>
        <w:shd w:val="clear" w:color="auto" w:fill="FFFFFF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Процедурные знания 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— то есть знания, как выполнить нужное действие, какие критерии, алгоритмы и техники нужны для того, чтобы что-либо сделать.</w:t>
      </w:r>
    </w:p>
    <w:p w14:paraId="6DBBC8C9" w14:textId="77777777" w:rsidR="00A17A98" w:rsidRPr="00A17A98" w:rsidRDefault="00A17A98" w:rsidP="00A17A98">
      <w:pPr>
        <w:numPr>
          <w:ilvl w:val="0"/>
          <w:numId w:val="1"/>
        </w:numPr>
        <w:shd w:val="clear" w:color="auto" w:fill="FFFFFF"/>
        <w:spacing w:after="0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proofErr w:type="spellStart"/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lastRenderedPageBreak/>
        <w:t>Метакогнтитивные</w:t>
      </w:r>
      <w:proofErr w:type="spellEnd"/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 xml:space="preserve"> знания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(этот пункт добавлен в 2001 году) — понимание того, как работает мышление и как сам ученик мыслит, для осознанного подхода к учёбе.</w:t>
      </w:r>
    </w:p>
    <w:p w14:paraId="5812AF78" w14:textId="77777777" w:rsidR="00A17A98" w:rsidRPr="00A17A98" w:rsidRDefault="00A17A98" w:rsidP="00A17A98">
      <w:pPr>
        <w:shd w:val="clear" w:color="auto" w:fill="FFFFFF"/>
        <w:spacing w:after="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В итоге, когда мы соединяем когнитивные процессы и знания, появляется </w:t>
      </w: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матрица таксономии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(англ. </w:t>
      </w:r>
      <w:proofErr w:type="spellStart"/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Taxonomy</w:t>
      </w:r>
      <w:proofErr w:type="spellEnd"/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 xml:space="preserve"> </w:t>
      </w:r>
      <w:proofErr w:type="spellStart"/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Table</w:t>
      </w:r>
      <w:proofErr w:type="spellEnd"/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). Она помогает равномерно и правильно определить (и распределить) учебные цели и задачи. Важно помнить, что речь здесь идёт именно о результатах, а не о заданиях, которые к этим результатам приводят.</w:t>
      </w:r>
    </w:p>
    <w:p w14:paraId="5FE27086" w14:textId="6564147C" w:rsidR="00A17A98" w:rsidRPr="00A17A98" w:rsidRDefault="00A17A98" w:rsidP="00A17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BY" w:eastAsia="ru-BY"/>
        </w:rPr>
        <w:drawing>
          <wp:inline distT="0" distB="0" distL="0" distR="0" wp14:anchorId="7AE38C3F" wp14:editId="0DAA9D60">
            <wp:extent cx="5940425" cy="33064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3AE08" w14:textId="77777777" w:rsidR="00A17A98" w:rsidRPr="00A17A98" w:rsidRDefault="00A17A98" w:rsidP="00A17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 xml:space="preserve">Инфографика:  </w:t>
      </w:r>
      <w:proofErr w:type="spellStart"/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>Skillbox</w:t>
      </w:r>
      <w:proofErr w:type="spellEnd"/>
      <w:r w:rsidRPr="00A17A98">
        <w:rPr>
          <w:rFonts w:ascii="stk" w:eastAsia="Times New Roman" w:hAnsi="stk" w:cs="Times New Roman"/>
          <w:i/>
          <w:iCs/>
          <w:color w:val="BCBCBC"/>
          <w:sz w:val="24"/>
          <w:szCs w:val="24"/>
          <w:bdr w:val="none" w:sz="0" w:space="0" w:color="auto" w:frame="1"/>
          <w:lang w:val="ru-BY" w:eastAsia="ru-BY"/>
        </w:rPr>
        <w:t xml:space="preserve"> Media</w:t>
      </w:r>
    </w:p>
    <w:p w14:paraId="61382B37" w14:textId="77777777" w:rsidR="00A17A98" w:rsidRPr="00A17A98" w:rsidRDefault="00A17A98" w:rsidP="00A17A98">
      <w:pPr>
        <w:shd w:val="clear" w:color="auto" w:fill="F1F2F6"/>
        <w:spacing w:after="0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Подробный пример такой таблицы с заполненными целями (на английском языке) можно посмотреть </w:t>
      </w:r>
      <w:hyperlink r:id="rId15" w:tgtFrame="_blank" w:history="1">
        <w:r w:rsidRPr="00A17A98">
          <w:rPr>
            <w:rFonts w:ascii="stk" w:eastAsia="Times New Roman" w:hAnsi="stk" w:cs="Times New Roman"/>
            <w:color w:val="0000FF"/>
            <w:sz w:val="24"/>
            <w:szCs w:val="24"/>
            <w:u w:val="single"/>
            <w:bdr w:val="none" w:sz="0" w:space="0" w:color="auto" w:frame="1"/>
            <w:lang w:val="ru-BY" w:eastAsia="ru-BY"/>
          </w:rPr>
          <w:t>здесь</w:t>
        </w:r>
      </w:hyperlink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.</w:t>
      </w:r>
    </w:p>
    <w:p w14:paraId="42DED3AB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 xml:space="preserve">Матрица даёт возможность посмотреть на результаты обучения со стороны студента, не забывать о необходимости развития навыков </w:t>
      </w:r>
      <w:proofErr w:type="spellStart"/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метапознания</w:t>
      </w:r>
      <w:proofErr w:type="spellEnd"/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 xml:space="preserve"> и в целом структурно подойти к построению своей программы.</w:t>
      </w:r>
    </w:p>
    <w:p w14:paraId="796B162B" w14:textId="4A939C61" w:rsidR="00A17A98" w:rsidRPr="00A17A98" w:rsidRDefault="00A17A98" w:rsidP="00A17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BY" w:eastAsia="ru-BY"/>
        </w:rPr>
        <w:drawing>
          <wp:inline distT="0" distB="0" distL="0" distR="0" wp14:anchorId="06884FCA" wp14:editId="7CEA7B92">
            <wp:extent cx="5940425" cy="31921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61AA" w14:textId="77777777" w:rsidR="00A17A98" w:rsidRPr="00A17A98" w:rsidRDefault="00A17A98" w:rsidP="00A17A98">
      <w:pPr>
        <w:shd w:val="clear" w:color="auto" w:fill="FFFFFF"/>
        <w:spacing w:after="195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lastRenderedPageBreak/>
        <w:t>Читайте также:</w:t>
      </w:r>
    </w:p>
    <w:p w14:paraId="20357BEB" w14:textId="77777777" w:rsidR="00A17A98" w:rsidRPr="00A17A98" w:rsidRDefault="00A17A98" w:rsidP="00A17A98">
      <w:pPr>
        <w:shd w:val="clear" w:color="auto" w:fill="FFFFFF"/>
        <w:spacing w:line="240" w:lineRule="auto"/>
        <w:textAlignment w:val="baseline"/>
        <w:rPr>
          <w:rFonts w:ascii="stk" w:eastAsia="Times New Roman" w:hAnsi="stk" w:cs="Times New Roman"/>
          <w:color w:val="3D3BFF"/>
          <w:sz w:val="24"/>
          <w:szCs w:val="24"/>
          <w:lang w:val="ru-BY" w:eastAsia="ru-BY"/>
        </w:rPr>
      </w:pPr>
      <w:hyperlink r:id="rId17" w:tgtFrame="_blank" w:history="1">
        <w:r w:rsidRPr="00A17A98">
          <w:rPr>
            <w:rFonts w:ascii="stk" w:eastAsia="Times New Roman" w:hAnsi="stk" w:cs="Times New Roman"/>
            <w:color w:val="000000"/>
            <w:sz w:val="24"/>
            <w:szCs w:val="24"/>
            <w:u w:val="single"/>
            <w:bdr w:val="none" w:sz="0" w:space="0" w:color="auto" w:frame="1"/>
            <w:lang w:val="ru-BY" w:eastAsia="ru-BY"/>
          </w:rPr>
          <w:t xml:space="preserve">Методы </w:t>
        </w:r>
        <w:proofErr w:type="spellStart"/>
        <w:r w:rsidRPr="00A17A98">
          <w:rPr>
            <w:rFonts w:ascii="stk" w:eastAsia="Times New Roman" w:hAnsi="stk" w:cs="Times New Roman"/>
            <w:color w:val="000000"/>
            <w:sz w:val="24"/>
            <w:szCs w:val="24"/>
            <w:u w:val="single"/>
            <w:bdr w:val="none" w:sz="0" w:space="0" w:color="auto" w:frame="1"/>
            <w:lang w:val="ru-BY" w:eastAsia="ru-BY"/>
          </w:rPr>
          <w:t>метапознания</w:t>
        </w:r>
        <w:proofErr w:type="spellEnd"/>
        <w:r w:rsidRPr="00A17A98">
          <w:rPr>
            <w:rFonts w:ascii="stk" w:eastAsia="Times New Roman" w:hAnsi="stk" w:cs="Times New Roman"/>
            <w:color w:val="000000"/>
            <w:sz w:val="24"/>
            <w:szCs w:val="24"/>
            <w:u w:val="single"/>
            <w:bdr w:val="none" w:sz="0" w:space="0" w:color="auto" w:frame="1"/>
            <w:lang w:val="ru-BY" w:eastAsia="ru-BY"/>
          </w:rPr>
          <w:t>: как научить учиться детей и взрослых</w:t>
        </w:r>
      </w:hyperlink>
    </w:p>
    <w:p w14:paraId="3EDFB2F3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outlineLvl w:val="1"/>
        <w:rPr>
          <w:rFonts w:ascii="stk" w:eastAsia="Times New Roman" w:hAnsi="stk" w:cs="Times New Roman"/>
          <w:b/>
          <w:bCs/>
          <w:color w:val="000000"/>
          <w:sz w:val="36"/>
          <w:szCs w:val="36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36"/>
          <w:szCs w:val="36"/>
          <w:lang w:val="ru-BY" w:eastAsia="ru-BY"/>
        </w:rPr>
        <w:t>Как и для чего используется таксономия Блума</w:t>
      </w:r>
    </w:p>
    <w:p w14:paraId="26E0E02E" w14:textId="77777777" w:rsidR="00A17A98" w:rsidRPr="00A17A98" w:rsidRDefault="00A17A98" w:rsidP="00A17A98">
      <w:pPr>
        <w:shd w:val="clear" w:color="auto" w:fill="FFFFFF"/>
        <w:spacing w:after="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Разберём таксономию Блума на упрощённом примере под самых маленьких учащихся, который </w:t>
      </w:r>
      <w:hyperlink r:id="rId18" w:tgtFrame="_blank" w:history="1">
        <w:r w:rsidRPr="00A17A98">
          <w:rPr>
            <w:rFonts w:ascii="stk" w:eastAsia="Times New Roman" w:hAnsi="stk" w:cs="Times New Roman"/>
            <w:color w:val="0000FF"/>
            <w:sz w:val="24"/>
            <w:szCs w:val="24"/>
            <w:u w:val="single"/>
            <w:bdr w:val="none" w:sz="0" w:space="0" w:color="auto" w:frame="1"/>
            <w:lang w:val="ru-BY" w:eastAsia="ru-BY"/>
          </w:rPr>
          <w:t>привела</w:t>
        </w:r>
      </w:hyperlink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Мэри Форхэнд из Университета Джорджии.</w:t>
      </w:r>
    </w:p>
    <w:p w14:paraId="1C051EA1" w14:textId="77777777" w:rsidR="00A17A98" w:rsidRPr="00A17A98" w:rsidRDefault="00A17A98" w:rsidP="00A17A98">
      <w:pPr>
        <w:shd w:val="clear" w:color="auto" w:fill="FFFFFF"/>
        <w:spacing w:after="195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Предположим, на уроках по литературе дети проходят какой-то известный рассказ. Вот как будут выглядеть задачи под конкретные цели в таксономии Блума:</w:t>
      </w:r>
    </w:p>
    <w:p w14:paraId="0B74B8C5" w14:textId="77777777" w:rsidR="00A17A98" w:rsidRPr="00A17A98" w:rsidRDefault="00A17A98" w:rsidP="00A17A98">
      <w:pPr>
        <w:numPr>
          <w:ilvl w:val="0"/>
          <w:numId w:val="2"/>
        </w:numPr>
        <w:shd w:val="clear" w:color="auto" w:fill="FFFFFF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Вспоминание.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Умение рассказать о том, как выглядело жилище главного героя.</w:t>
      </w:r>
    </w:p>
    <w:p w14:paraId="17E10C79" w14:textId="77777777" w:rsidR="00A17A98" w:rsidRPr="00A17A98" w:rsidRDefault="00A17A98" w:rsidP="00A17A98">
      <w:pPr>
        <w:numPr>
          <w:ilvl w:val="0"/>
          <w:numId w:val="2"/>
        </w:numPr>
        <w:shd w:val="clear" w:color="auto" w:fill="FFFFFF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Понимание.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Обобщение сюжета или пересказ того, что дети прочитали.</w:t>
      </w:r>
    </w:p>
    <w:p w14:paraId="2FA84C8F" w14:textId="77777777" w:rsidR="00A17A98" w:rsidRPr="00A17A98" w:rsidRDefault="00A17A98" w:rsidP="00A17A98">
      <w:pPr>
        <w:numPr>
          <w:ilvl w:val="0"/>
          <w:numId w:val="2"/>
        </w:numPr>
        <w:shd w:val="clear" w:color="auto" w:fill="FFFFFF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Применение.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Объяснение, чем был обусловлен тот или иной поступок героя рассказа.</w:t>
      </w:r>
    </w:p>
    <w:p w14:paraId="668DD22E" w14:textId="77777777" w:rsidR="00A17A98" w:rsidRPr="00A17A98" w:rsidRDefault="00A17A98" w:rsidP="00A17A98">
      <w:pPr>
        <w:numPr>
          <w:ilvl w:val="0"/>
          <w:numId w:val="2"/>
        </w:numPr>
        <w:shd w:val="clear" w:color="auto" w:fill="FFFFFF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Анализ.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Сравнение реакции героя на события и собственной потенциальной реакции.</w:t>
      </w:r>
    </w:p>
    <w:p w14:paraId="69C50C72" w14:textId="77777777" w:rsidR="00A17A98" w:rsidRPr="00A17A98" w:rsidRDefault="00A17A98" w:rsidP="00A17A98">
      <w:pPr>
        <w:numPr>
          <w:ilvl w:val="0"/>
          <w:numId w:val="2"/>
        </w:numPr>
        <w:shd w:val="clear" w:color="auto" w:fill="FFFFFF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Оценка. 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Оценка достоверности описанного — например, могло ли это происходить на самом деле.</w:t>
      </w:r>
    </w:p>
    <w:p w14:paraId="477B542B" w14:textId="77777777" w:rsidR="00A17A98" w:rsidRPr="00A17A98" w:rsidRDefault="00A17A98" w:rsidP="00A17A98">
      <w:pPr>
        <w:numPr>
          <w:ilvl w:val="0"/>
          <w:numId w:val="2"/>
        </w:numPr>
        <w:shd w:val="clear" w:color="auto" w:fill="FFFFFF"/>
        <w:spacing w:after="0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Создание.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Создание стихотворения, рассказа или песни по мотивам произведения.</w:t>
      </w:r>
    </w:p>
    <w:p w14:paraId="6158DEE5" w14:textId="77777777" w:rsidR="00A17A98" w:rsidRPr="00A17A98" w:rsidRDefault="00A17A98" w:rsidP="00A17A98">
      <w:pPr>
        <w:shd w:val="clear" w:color="auto" w:fill="FFFFFF"/>
        <w:spacing w:after="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Таксономия Блума, конечно, работает и в обучении взрослых. Например, её активно применяют в создании </w:t>
      </w:r>
      <w:hyperlink r:id="rId19" w:tgtFrame="_blank" w:history="1">
        <w:r w:rsidRPr="00A17A98">
          <w:rPr>
            <w:rFonts w:ascii="stk" w:eastAsia="Times New Roman" w:hAnsi="stk" w:cs="Times New Roman"/>
            <w:color w:val="0000FF"/>
            <w:sz w:val="24"/>
            <w:szCs w:val="24"/>
            <w:u w:val="single"/>
            <w:bdr w:val="none" w:sz="0" w:space="0" w:color="auto" w:frame="1"/>
            <w:lang w:val="ru-BY" w:eastAsia="ru-BY"/>
          </w:rPr>
          <w:t>онлайн-курсов</w:t>
        </w:r>
      </w:hyperlink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, чтобы подобрать верные цели обучения, практику и инструменты оценивания.</w:t>
      </w:r>
    </w:p>
    <w:p w14:paraId="296BD8E6" w14:textId="77777777" w:rsidR="00A17A98" w:rsidRPr="00A17A98" w:rsidRDefault="00A17A98" w:rsidP="00A17A98">
      <w:pPr>
        <w:shd w:val="clear" w:color="auto" w:fill="FFFFFF"/>
        <w:spacing w:after="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Кстати, по таксономии удобно не только подбирать задачи или подходы, но и оценивать качество обучения в целом. Такие </w:t>
      </w:r>
      <w:hyperlink r:id="rId20" w:tgtFrame="_blank" w:history="1">
        <w:r w:rsidRPr="00A17A98">
          <w:rPr>
            <w:rFonts w:ascii="stk" w:eastAsia="Times New Roman" w:hAnsi="stk" w:cs="Times New Roman"/>
            <w:color w:val="0000FF"/>
            <w:sz w:val="24"/>
            <w:szCs w:val="24"/>
            <w:u w:val="single"/>
            <w:bdr w:val="none" w:sz="0" w:space="0" w:color="auto" w:frame="1"/>
            <w:lang w:val="ru-BY" w:eastAsia="ru-BY"/>
          </w:rPr>
          <w:t>примеры</w:t>
        </w:r>
      </w:hyperlink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использования таксономии Блума уже есть в корпоративном сегменте: в зависимости от целей там выбирают подходящие инструменты для замера результатов образовательных программ. Так, если запоминание предсказуемо можно проверить тестами, то применение и анализ замеряют с помощью чек-листов и поведенческих индикаторов — чем стабильнее проявление желаемого поведения, тем лучше.</w:t>
      </w:r>
    </w:p>
    <w:p w14:paraId="296CC400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Иногда таксономию используют и вовсе нестандартно. Например, в традиционном обучении уроки посвящены «базе» пирамиды — учащиеся запоминают какую-то информацию и осваивают её объяснение. Работа над целями верхнего уровня происходит уже дома — например, они анализируют пройденное или создают какой-то проект в рамках домашнего задания. А вот в перевёрнутом обучении всё наоборот: для базовых целей (прочесть главу учебника, ответить на вопросы и так далее) выделяется самостоятельное время, а в классе ученики занимаются обсуждением пройденного, применением изученного или созданием новых идей.</w:t>
      </w:r>
    </w:p>
    <w:p w14:paraId="4CA802AD" w14:textId="35C13667" w:rsidR="00A17A98" w:rsidRPr="00A17A98" w:rsidRDefault="00A17A98" w:rsidP="00A17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BY" w:eastAsia="ru-BY"/>
        </w:rPr>
        <w:lastRenderedPageBreak/>
        <w:drawing>
          <wp:inline distT="0" distB="0" distL="0" distR="0" wp14:anchorId="3669B873" wp14:editId="55ABAAB8">
            <wp:extent cx="5940425" cy="31921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760C" w14:textId="77777777" w:rsidR="00A17A98" w:rsidRPr="00A17A98" w:rsidRDefault="00A17A98" w:rsidP="00A17A98">
      <w:pPr>
        <w:shd w:val="clear" w:color="auto" w:fill="FFFFFF"/>
        <w:spacing w:after="195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Читайте также:</w:t>
      </w:r>
    </w:p>
    <w:p w14:paraId="6F6C83F9" w14:textId="77777777" w:rsidR="00A17A98" w:rsidRPr="00A17A98" w:rsidRDefault="00A17A98" w:rsidP="00A17A98">
      <w:pPr>
        <w:shd w:val="clear" w:color="auto" w:fill="FFFFFF"/>
        <w:spacing w:line="240" w:lineRule="auto"/>
        <w:textAlignment w:val="baseline"/>
        <w:rPr>
          <w:rFonts w:ascii="stk" w:eastAsia="Times New Roman" w:hAnsi="stk" w:cs="Times New Roman"/>
          <w:color w:val="3D3BFF"/>
          <w:sz w:val="24"/>
          <w:szCs w:val="24"/>
          <w:lang w:val="ru-BY" w:eastAsia="ru-BY"/>
        </w:rPr>
      </w:pPr>
      <w:hyperlink r:id="rId22" w:tgtFrame="_blank" w:history="1">
        <w:r w:rsidRPr="00A17A98">
          <w:rPr>
            <w:rFonts w:ascii="stk" w:eastAsia="Times New Roman" w:hAnsi="stk" w:cs="Times New Roman"/>
            <w:color w:val="000000"/>
            <w:sz w:val="24"/>
            <w:szCs w:val="24"/>
            <w:u w:val="single"/>
            <w:bdr w:val="none" w:sz="0" w:space="0" w:color="auto" w:frame="1"/>
            <w:lang w:val="ru-BY" w:eastAsia="ru-BY"/>
          </w:rPr>
          <w:t>Вверх тормашками: что такое перевёрнутое обучение</w:t>
        </w:r>
      </w:hyperlink>
    </w:p>
    <w:p w14:paraId="310FCA97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outlineLvl w:val="1"/>
        <w:rPr>
          <w:rFonts w:ascii="stk" w:eastAsia="Times New Roman" w:hAnsi="stk" w:cs="Times New Roman"/>
          <w:b/>
          <w:bCs/>
          <w:color w:val="000000"/>
          <w:sz w:val="36"/>
          <w:szCs w:val="36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36"/>
          <w:szCs w:val="36"/>
          <w:lang w:val="ru-BY" w:eastAsia="ru-BY"/>
        </w:rPr>
        <w:t>Действительно ли работает таксономия Блума</w:t>
      </w:r>
    </w:p>
    <w:p w14:paraId="45DBC252" w14:textId="77777777" w:rsidR="00A17A98" w:rsidRPr="00A17A98" w:rsidRDefault="00A17A98" w:rsidP="00A17A98">
      <w:pPr>
        <w:shd w:val="clear" w:color="auto" w:fill="FFFFFF"/>
        <w:spacing w:after="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Таксономию Блума используют педагоги и методисты по всему миру, причём и первую, и вторую версии. Однако критики этого подхода тоже есть. Одна из ключевых претензий, например, такая: в таксономии не работает сама последовательность. Самый простой пример </w:t>
      </w:r>
      <w:hyperlink r:id="rId23" w:tgtFrame="_blank" w:history="1">
        <w:r w:rsidRPr="00A17A98">
          <w:rPr>
            <w:rFonts w:ascii="stk" w:eastAsia="Times New Roman" w:hAnsi="stk" w:cs="Times New Roman"/>
            <w:color w:val="0000FF"/>
            <w:sz w:val="24"/>
            <w:szCs w:val="24"/>
            <w:u w:val="single"/>
            <w:bdr w:val="none" w:sz="0" w:space="0" w:color="auto" w:frame="1"/>
            <w:lang w:val="ru-BY" w:eastAsia="ru-BY"/>
          </w:rPr>
          <w:t>приводил</w:t>
        </w:r>
      </w:hyperlink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 Роб Бергер, практикующий педагог в прошлом и глава компании EL Education, разрабатывающей образовательные программы. В современном обучении, объяснял он, процесс должен быть перевёрнут — через создание чего-либо учащиеся начинают понимать и запоминать нужную информацию.</w:t>
      </w:r>
    </w:p>
    <w:p w14:paraId="1ABA97DC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«За годы работы с тысячами учителей я пришёл к выводу, что таксономия Блума приносит больше вреда, чем пользы. Она побуждает нас организовывать обучение в классе вопреки тому, как мы учимся на самом деле. Если мы согласны с тем, что понимание часто строится посредством применения и создания, нам нужно предоставить студентам возможность создавать вещи (и анализировать эти творения) большую часть времени. Создавая и анализируя, они будут накапливать знания и понимание. Они могут начать создавать вещи прямо в начале обучения. Они могут активно использовать свои умы и руки в процессе творчества и постоянно анализировать своё понимание индивидуально и совместно», — считает Бергер.</w:t>
      </w:r>
    </w:p>
    <w:p w14:paraId="0360A51F" w14:textId="079ACDDD" w:rsidR="00A17A98" w:rsidRPr="00A17A98" w:rsidRDefault="00A17A98" w:rsidP="00A17A98">
      <w:pPr>
        <w:shd w:val="clear" w:color="auto" w:fill="FEF5E0"/>
        <w:spacing w:after="0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noProof/>
          <w:color w:val="000000"/>
          <w:sz w:val="24"/>
          <w:szCs w:val="24"/>
          <w:lang w:val="ru-BY" w:eastAsia="ru-BY"/>
        </w:rPr>
        <mc:AlternateContent>
          <mc:Choice Requires="wps">
            <w:drawing>
              <wp:inline distT="0" distB="0" distL="0" distR="0" wp14:anchorId="10D5D2DF" wp14:editId="44EB07E6">
                <wp:extent cx="302260" cy="30226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644024" id="Прямоугольник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2DAB53B4" w14:textId="77777777" w:rsidR="00A17A98" w:rsidRPr="00A17A98" w:rsidRDefault="00A17A98" w:rsidP="00A17A98">
      <w:pPr>
        <w:shd w:val="clear" w:color="auto" w:fill="FEF5E0"/>
        <w:spacing w:after="0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Ещё одна значительная проблема заключается даже не в самой иерархии, а в том, как её </w:t>
      </w:r>
      <w:hyperlink r:id="rId24" w:tgtFrame="_blank" w:history="1">
        <w:r w:rsidRPr="00A17A98">
          <w:rPr>
            <w:rFonts w:ascii="stk" w:eastAsia="Times New Roman" w:hAnsi="stk" w:cs="Times New Roman"/>
            <w:color w:val="0000FF"/>
            <w:sz w:val="24"/>
            <w:szCs w:val="24"/>
            <w:u w:val="single"/>
            <w:bdr w:val="none" w:sz="0" w:space="0" w:color="auto" w:frame="1"/>
            <w:lang w:val="ru-BY" w:eastAsia="ru-BY"/>
          </w:rPr>
          <w:t>воспринимают</w:t>
        </w:r>
      </w:hyperlink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 xml:space="preserve"> и используют на практике. Например, учитель, который строил программу по таксономии Блума, подумает: «Мои ученики никак не могут запомнить информацию — выходит, я не могу предложить им создать что-либо новое на её основе». Такой специалист воспринимает «пирамиду» буквально — если </w:t>
      </w: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lastRenderedPageBreak/>
        <w:t>внизу находятся самые лёгкие навыки, то наверху обязательно сложные, и осваивать их нужно в строгом порядке. Что, конечно же, совсем не так.</w:t>
      </w:r>
    </w:p>
    <w:p w14:paraId="20B6F822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В итоге вместо реального обучения происходит подмена понятий, а учащимся предлагается бесконечно осваивать базовый уровень. Бывает и другая ситуация (о которой также упоминал Роб Бергер): педагоги склонны недооценивать всё, что считается целями и навыками низшего порядка, а упор делать только на верхние уровни. Это тоже приводит к проблемам, поскольку навыки учащимся нужны в комплексе.</w:t>
      </w:r>
    </w:p>
    <w:p w14:paraId="2659FEBA" w14:textId="77777777" w:rsidR="00A17A98" w:rsidRPr="00A17A98" w:rsidRDefault="00A17A98" w:rsidP="00A17A98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  <w:t>Иными словами, таксономию можно применять на практике, но относиться к ней стоит с долей скепсиса. То есть не воспринимать её как единственно верное руководство по построению целей обучения, а использовать как полезный, но не строгий путеводитель, который позволяет отступать от маршрута.</w:t>
      </w:r>
    </w:p>
    <w:p w14:paraId="658DFF42" w14:textId="77777777" w:rsidR="00A17A98" w:rsidRPr="00A17A98" w:rsidRDefault="00A17A98" w:rsidP="00A17A98">
      <w:pPr>
        <w:shd w:val="clear" w:color="auto" w:fill="FEF5E0"/>
        <w:spacing w:after="0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r w:rsidRPr="00A17A98">
        <w:rPr>
          <w:rFonts w:ascii="stk" w:eastAsia="Times New Roman" w:hAnsi="stk" w:cs="Times New Roman"/>
          <w:b/>
          <w:bCs/>
          <w:color w:val="000000"/>
          <w:sz w:val="24"/>
          <w:szCs w:val="24"/>
          <w:bdr w:val="none" w:sz="0" w:space="0" w:color="auto" w:frame="1"/>
          <w:lang w:val="ru-BY" w:eastAsia="ru-BY"/>
        </w:rPr>
        <w:t>ЧИТАЙТЕ ТАКЖЕ:</w:t>
      </w:r>
    </w:p>
    <w:p w14:paraId="13867114" w14:textId="77777777" w:rsidR="00A17A98" w:rsidRPr="00A17A98" w:rsidRDefault="00A17A98" w:rsidP="00A17A98">
      <w:pPr>
        <w:numPr>
          <w:ilvl w:val="0"/>
          <w:numId w:val="3"/>
        </w:numPr>
        <w:shd w:val="clear" w:color="auto" w:fill="FEF5E0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hyperlink r:id="rId25" w:tgtFrame="_blank" w:history="1">
        <w:r w:rsidRPr="00A17A98">
          <w:rPr>
            <w:rFonts w:ascii="stk" w:eastAsia="Times New Roman" w:hAnsi="stk" w:cs="Times New Roman"/>
            <w:color w:val="0000FF"/>
            <w:sz w:val="24"/>
            <w:szCs w:val="24"/>
            <w:u w:val="single"/>
            <w:bdr w:val="none" w:sz="0" w:space="0" w:color="auto" w:frame="1"/>
            <w:lang w:val="ru-BY" w:eastAsia="ru-BY"/>
          </w:rPr>
          <w:t>Что такое педагогический дизайн</w:t>
        </w:r>
      </w:hyperlink>
    </w:p>
    <w:p w14:paraId="27ACC789" w14:textId="77777777" w:rsidR="00A17A98" w:rsidRPr="00A17A98" w:rsidRDefault="00A17A98" w:rsidP="00A17A98">
      <w:pPr>
        <w:numPr>
          <w:ilvl w:val="0"/>
          <w:numId w:val="3"/>
        </w:numPr>
        <w:shd w:val="clear" w:color="auto" w:fill="FEF5E0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hyperlink r:id="rId26" w:tgtFrame="_blank" w:history="1">
        <w:r w:rsidRPr="00A17A98">
          <w:rPr>
            <w:rFonts w:ascii="stk" w:eastAsia="Times New Roman" w:hAnsi="stk" w:cs="Times New Roman"/>
            <w:color w:val="0000FF"/>
            <w:sz w:val="24"/>
            <w:szCs w:val="24"/>
            <w:u w:val="single"/>
            <w:bdr w:val="none" w:sz="0" w:space="0" w:color="auto" w:frame="1"/>
            <w:lang w:val="ru-BY" w:eastAsia="ru-BY"/>
          </w:rPr>
          <w:t>Теория когнитивной нагрузки: почему в обучении «больше» не значит «лучше»</w:t>
        </w:r>
      </w:hyperlink>
    </w:p>
    <w:p w14:paraId="2A6FA03F" w14:textId="77777777" w:rsidR="00A17A98" w:rsidRPr="00A17A98" w:rsidRDefault="00A17A98" w:rsidP="00A17A98">
      <w:pPr>
        <w:numPr>
          <w:ilvl w:val="0"/>
          <w:numId w:val="3"/>
        </w:numPr>
        <w:shd w:val="clear" w:color="auto" w:fill="FEF5E0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hyperlink r:id="rId27" w:tgtFrame="_blank" w:history="1">
        <w:r w:rsidRPr="00A17A98">
          <w:rPr>
            <w:rFonts w:ascii="stk" w:eastAsia="Times New Roman" w:hAnsi="stk" w:cs="Times New Roman"/>
            <w:color w:val="0000FF"/>
            <w:sz w:val="24"/>
            <w:szCs w:val="24"/>
            <w:u w:val="single"/>
            <w:bdr w:val="none" w:sz="0" w:space="0" w:color="auto" w:frame="1"/>
            <w:lang w:val="ru-BY" w:eastAsia="ru-BY"/>
          </w:rPr>
          <w:t>«Пирамида Дейла»: правда ли, что обучение на практике лучше любой теории?</w:t>
        </w:r>
      </w:hyperlink>
    </w:p>
    <w:p w14:paraId="176363AF" w14:textId="77777777" w:rsidR="00A17A98" w:rsidRPr="00A17A98" w:rsidRDefault="00A17A98" w:rsidP="00A17A98">
      <w:pPr>
        <w:numPr>
          <w:ilvl w:val="0"/>
          <w:numId w:val="3"/>
        </w:numPr>
        <w:shd w:val="clear" w:color="auto" w:fill="FEF5E0"/>
        <w:spacing w:after="0" w:afterAutospacing="1"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hyperlink r:id="rId28" w:tgtFrame="_blank" w:history="1">
        <w:r w:rsidRPr="00A17A98">
          <w:rPr>
            <w:rFonts w:ascii="stk" w:eastAsia="Times New Roman" w:hAnsi="stk" w:cs="Times New Roman"/>
            <w:color w:val="0000FF"/>
            <w:sz w:val="24"/>
            <w:szCs w:val="24"/>
            <w:u w:val="single"/>
            <w:bdr w:val="none" w:sz="0" w:space="0" w:color="auto" w:frame="1"/>
            <w:lang w:val="ru-BY" w:eastAsia="ru-BY"/>
          </w:rPr>
          <w:t>Как ТРИЗ-педагогика помогает развивать нестандартное мышление у учеников</w:t>
        </w:r>
      </w:hyperlink>
    </w:p>
    <w:p w14:paraId="5AF3FF66" w14:textId="77777777" w:rsidR="00A17A98" w:rsidRPr="00A17A98" w:rsidRDefault="00A17A98" w:rsidP="00A17A98">
      <w:pPr>
        <w:numPr>
          <w:ilvl w:val="0"/>
          <w:numId w:val="3"/>
        </w:numPr>
        <w:shd w:val="clear" w:color="auto" w:fill="FEF5E0"/>
        <w:spacing w:line="240" w:lineRule="auto"/>
        <w:ind w:left="807" w:firstLine="0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val="ru-BY" w:eastAsia="ru-BY"/>
        </w:rPr>
      </w:pPr>
      <w:hyperlink r:id="rId29" w:tgtFrame="_blank" w:history="1">
        <w:r w:rsidRPr="00A17A98">
          <w:rPr>
            <w:rFonts w:ascii="stk" w:eastAsia="Times New Roman" w:hAnsi="stk" w:cs="Times New Roman"/>
            <w:color w:val="0000FF"/>
            <w:sz w:val="24"/>
            <w:szCs w:val="24"/>
            <w:u w:val="single"/>
            <w:bdr w:val="none" w:sz="0" w:space="0" w:color="auto" w:frame="1"/>
            <w:lang w:val="ru-BY" w:eastAsia="ru-BY"/>
          </w:rPr>
          <w:t>Что такое SEL: модное слово или серьёзная новая концепция в образовании</w:t>
        </w:r>
      </w:hyperlink>
    </w:p>
    <w:p w14:paraId="7F2B859D" w14:textId="77777777" w:rsidR="00FB243F" w:rsidRPr="00A17A98" w:rsidRDefault="00FB243F">
      <w:pPr>
        <w:rPr>
          <w:lang w:val="ru-BY"/>
        </w:rPr>
      </w:pPr>
    </w:p>
    <w:sectPr w:rsidR="00FB243F" w:rsidRPr="00A17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tk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03151"/>
    <w:multiLevelType w:val="multilevel"/>
    <w:tmpl w:val="6A5A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46272E"/>
    <w:multiLevelType w:val="multilevel"/>
    <w:tmpl w:val="82E4F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4554E9"/>
    <w:multiLevelType w:val="multilevel"/>
    <w:tmpl w:val="7F3A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0336711">
    <w:abstractNumId w:val="1"/>
  </w:num>
  <w:num w:numId="2" w16cid:durableId="1839150501">
    <w:abstractNumId w:val="0"/>
  </w:num>
  <w:num w:numId="3" w16cid:durableId="8769680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A98"/>
    <w:rsid w:val="00A17A98"/>
    <w:rsid w:val="00FB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24BA3"/>
  <w15:chartTrackingRefBased/>
  <w15:docId w15:val="{542C435F-0FA2-45E4-AABB-DEB3990D9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7A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BY" w:eastAsia="ru-BY"/>
    </w:rPr>
  </w:style>
  <w:style w:type="paragraph" w:styleId="2">
    <w:name w:val="heading 2"/>
    <w:basedOn w:val="a"/>
    <w:link w:val="20"/>
    <w:uiPriority w:val="9"/>
    <w:qFormat/>
    <w:rsid w:val="00A17A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BY" w:eastAsia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7A98"/>
    <w:rPr>
      <w:rFonts w:ascii="Times New Roman" w:eastAsia="Times New Roman" w:hAnsi="Times New Roman" w:cs="Times New Roman"/>
      <w:b/>
      <w:bCs/>
      <w:kern w:val="36"/>
      <w:sz w:val="48"/>
      <w:szCs w:val="48"/>
      <w:lang w:val="ru-BY" w:eastAsia="ru-BY"/>
    </w:rPr>
  </w:style>
  <w:style w:type="character" w:customStyle="1" w:styleId="20">
    <w:name w:val="Заголовок 2 Знак"/>
    <w:basedOn w:val="a0"/>
    <w:link w:val="2"/>
    <w:uiPriority w:val="9"/>
    <w:rsid w:val="00A17A98"/>
    <w:rPr>
      <w:rFonts w:ascii="Times New Roman" w:eastAsia="Times New Roman" w:hAnsi="Times New Roman" w:cs="Times New Roman"/>
      <w:b/>
      <w:bCs/>
      <w:sz w:val="36"/>
      <w:szCs w:val="36"/>
      <w:lang w:val="ru-BY" w:eastAsia="ru-BY"/>
    </w:rPr>
  </w:style>
  <w:style w:type="paragraph" w:customStyle="1" w:styleId="article-previewdescription">
    <w:name w:val="article-preview__description"/>
    <w:basedOn w:val="a"/>
    <w:rsid w:val="00A17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customStyle="1" w:styleId="sharehandler-text">
    <w:name w:val="share__handler-text"/>
    <w:basedOn w:val="a0"/>
    <w:rsid w:val="00A17A98"/>
  </w:style>
  <w:style w:type="paragraph" w:customStyle="1" w:styleId="article-poster-text">
    <w:name w:val="article-poster-text"/>
    <w:basedOn w:val="a"/>
    <w:rsid w:val="00A17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styleId="a3">
    <w:name w:val="Hyperlink"/>
    <w:basedOn w:val="a0"/>
    <w:uiPriority w:val="99"/>
    <w:semiHidden/>
    <w:unhideWhenUsed/>
    <w:rsid w:val="00A17A98"/>
    <w:rPr>
      <w:color w:val="0000FF"/>
      <w:u w:val="single"/>
    </w:rPr>
  </w:style>
  <w:style w:type="paragraph" w:customStyle="1" w:styleId="insetdescription">
    <w:name w:val="inset__description"/>
    <w:basedOn w:val="a"/>
    <w:rsid w:val="00A17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customStyle="1" w:styleId="article-bannertitle">
    <w:name w:val="article-banner__title"/>
    <w:basedOn w:val="a0"/>
    <w:rsid w:val="00A17A98"/>
  </w:style>
  <w:style w:type="character" w:customStyle="1" w:styleId="article-bannerlink">
    <w:name w:val="article-banner__link"/>
    <w:basedOn w:val="a0"/>
    <w:rsid w:val="00A17A98"/>
  </w:style>
  <w:style w:type="paragraph" w:customStyle="1" w:styleId="stk-reset">
    <w:name w:val="stk-reset"/>
    <w:basedOn w:val="a"/>
    <w:rsid w:val="00A17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styleId="a4">
    <w:name w:val="Emphasis"/>
    <w:basedOn w:val="a0"/>
    <w:uiPriority w:val="20"/>
    <w:qFormat/>
    <w:rsid w:val="00A17A98"/>
    <w:rPr>
      <w:i/>
      <w:iCs/>
    </w:rPr>
  </w:style>
  <w:style w:type="character" w:styleId="a5">
    <w:name w:val="Strong"/>
    <w:basedOn w:val="a0"/>
    <w:uiPriority w:val="22"/>
    <w:qFormat/>
    <w:rsid w:val="00A17A98"/>
    <w:rPr>
      <w:b/>
      <w:bCs/>
    </w:rPr>
  </w:style>
  <w:style w:type="paragraph" w:customStyle="1" w:styleId="stk-elementno-text">
    <w:name w:val="stk-element_no-text"/>
    <w:basedOn w:val="a"/>
    <w:rsid w:val="00A17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paragraph" w:customStyle="1" w:styleId="stk-theme26309mb05">
    <w:name w:val="stk-theme_26309__mb_05"/>
    <w:basedOn w:val="a"/>
    <w:rsid w:val="00A17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paragraph" w:customStyle="1" w:styleId="stk-theme26309mb15">
    <w:name w:val="stk-theme_26309__mb_15"/>
    <w:basedOn w:val="a"/>
    <w:rsid w:val="00A17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paragraph" w:customStyle="1" w:styleId="stk-theme26309stylesmalltext">
    <w:name w:val="stk-theme_26309__style_small_text"/>
    <w:basedOn w:val="a"/>
    <w:rsid w:val="00A17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1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34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049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72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4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5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484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9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024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31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5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504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74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0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44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8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325135">
                          <w:marLeft w:val="0"/>
                          <w:marRight w:val="0"/>
                          <w:marTop w:val="105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933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5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29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18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225103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089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04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92853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95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39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893371">
                                  <w:marLeft w:val="0"/>
                                  <w:marRight w:val="0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7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87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0971279">
                                  <w:marLeft w:val="0"/>
                                  <w:marRight w:val="0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66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69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24" w:space="15" w:color="F5A74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865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978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504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24" w:space="15" w:color="F5A74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917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46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1658985">
                                  <w:marLeft w:val="0"/>
                                  <w:marRight w:val="0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71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950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326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24" w:space="15" w:color="F5A74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45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164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0" w:color="E4E4E4"/>
                                            <w:left w:val="single" w:sz="6" w:space="30" w:color="E4E4E4"/>
                                            <w:bottom w:val="single" w:sz="6" w:space="30" w:color="E4E4E4"/>
                                            <w:right w:val="single" w:sz="6" w:space="30" w:color="E4E4E4"/>
                                          </w:divBdr>
                                          <w:divsChild>
                                            <w:div w:id="175736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148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217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3464590">
                                  <w:marLeft w:val="0"/>
                                  <w:marRight w:val="0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11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7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0" w:color="E4E4E4"/>
                                            <w:left w:val="single" w:sz="6" w:space="30" w:color="E4E4E4"/>
                                            <w:bottom w:val="single" w:sz="6" w:space="30" w:color="E4E4E4"/>
                                            <w:right w:val="single" w:sz="6" w:space="30" w:color="E4E4E4"/>
                                          </w:divBdr>
                                          <w:divsChild>
                                            <w:div w:id="209874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47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339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352192">
                                  <w:marLeft w:val="0"/>
                                  <w:marRight w:val="0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29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87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24" w:space="15" w:color="F5A74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7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16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064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38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c/cdbgXZ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cft.vanderbilt.edu/wp-content/uploads/sites/59/BloomsTaxonomy-mary-forehand.pdf" TargetMode="External"/><Relationship Id="rId26" Type="http://schemas.openxmlformats.org/officeDocument/2006/relationships/hyperlink" Target="https://skillbox.ru/media/education/teoriya-kognitivnoy-nagruzki-pochemu-v-obuchenii-bolshe-ne-znachit-luchsh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hyperlink" Target="https://skillbox.ru/media/education/metody-metapoznaniya-kak-nauchit-uchitsya-detey-i-vzroslykh/" TargetMode="External"/><Relationship Id="rId25" Type="http://schemas.openxmlformats.org/officeDocument/2006/relationships/hyperlink" Target="https://skillbox.ru/media/education/chto-takoe-pedagogicheskiy-dizayn-i-kto-takoy-peddizayner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skillbox.ru/media/education/kak-izmerit-kachestvo-korporativnogo-obucheniya-4-pokazatelnykh-keysa/" TargetMode="External"/><Relationship Id="rId29" Type="http://schemas.openxmlformats.org/officeDocument/2006/relationships/hyperlink" Target="https://skillbox.ru/media/education/chto-takoe-sel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killbox.ru/media/authors/anna-sudeyskaya/" TargetMode="External"/><Relationship Id="rId11" Type="http://schemas.openxmlformats.org/officeDocument/2006/relationships/hyperlink" Target="https://www.uky.edu/~rsand1/china2018/texts/Anderson-Krathwohl%20-%20A%20taxonomy%20for%20learning%20teaching%20and%20assessing.pdf" TargetMode="External"/><Relationship Id="rId24" Type="http://schemas.openxmlformats.org/officeDocument/2006/relationships/hyperlink" Target="https://tc2.ca/uploads/PDFs/Critical%20Discussions/unfortunate_consequences_blooms_taxonomy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ustom-writing.org/blog/wp-content/uploads/2020/12/table.png" TargetMode="External"/><Relationship Id="rId23" Type="http://schemas.openxmlformats.org/officeDocument/2006/relationships/hyperlink" Target="https://www.edweek.org/education/opinion-heres-whats-wrong-with-blooms-taxonomy-a-deeper-learning-perspective/2018/03" TargetMode="External"/><Relationship Id="rId28" Type="http://schemas.openxmlformats.org/officeDocument/2006/relationships/hyperlink" Target="https://skillbox.ru/media/education/kak-trizpedagogika-pomogaet-razvivat-nestandartnoe-myshlenie-u-uchenikov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skillbox.ru/media/education/s-chego-nachat-sozdavaya-svoy-pervyy-onlaynkurs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killbox.ru/course/profession-methodist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skillbox.ru/media/education/chto-takoe-perevyernutoe-obuchenie/" TargetMode="External"/><Relationship Id="rId27" Type="http://schemas.openxmlformats.org/officeDocument/2006/relationships/hyperlink" Target="https://skillbox.ru/media/education/piramida-deyla-pravda-li-chto-obuchenie-na-praktike-luchshe-lyuboy-teorii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1936</Words>
  <Characters>11040</Characters>
  <Application>Microsoft Office Word</Application>
  <DocSecurity>0</DocSecurity>
  <Lines>92</Lines>
  <Paragraphs>25</Paragraphs>
  <ScaleCrop>false</ScaleCrop>
  <Company/>
  <LinksUpToDate>false</LinksUpToDate>
  <CharactersWithSpaces>12951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Недокунева</dc:creator>
  <cp:keywords/>
  <dc:description/>
  <cp:lastModifiedBy>Ирина Недокунева</cp:lastModifiedBy>
  <cp:revision>1</cp:revision>
  <dcterms:created xsi:type="dcterms:W3CDTF">2022-07-25T17:47:00Z</dcterms:created>
  <dcterms:modified xsi:type="dcterms:W3CDTF">2022-07-25T17:47:00Z</dcterms:modified>
</cp:coreProperties>
</file>