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7897" w14:textId="64F56F39" w:rsidR="002D07BD" w:rsidRPr="002D07BD" w:rsidRDefault="002D07BD" w:rsidP="002D07BD">
      <w:pPr>
        <w:pStyle w:val="Studys"/>
        <w:jc w:val="left"/>
        <w:rPr>
          <w:sz w:val="16"/>
          <w:szCs w:val="16"/>
        </w:rPr>
      </w:pPr>
      <w:r w:rsidRPr="002D07BD">
        <w:rPr>
          <w:sz w:val="16"/>
          <w:szCs w:val="16"/>
        </w:rPr>
        <w:t>Brouillon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D07BD" w:rsidRPr="002D07BD" w14:paraId="3B79648E" w14:textId="77777777" w:rsidTr="002D07BD">
        <w:tc>
          <w:tcPr>
            <w:tcW w:w="1812" w:type="dxa"/>
          </w:tcPr>
          <w:p w14:paraId="1569195F" w14:textId="77777777" w:rsidR="002D07BD" w:rsidRPr="002D07BD" w:rsidRDefault="002D07BD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7BFF0AFA" w14:textId="6A572A79" w:rsidR="002D07BD" w:rsidRPr="002D07BD" w:rsidRDefault="000769EC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proofErr w:type="spellStart"/>
            <w:r w:rsidRPr="002D07BD">
              <w:rPr>
                <w:i/>
                <w:iCs/>
                <w:sz w:val="16"/>
                <w:szCs w:val="16"/>
              </w:rPr>
              <w:t>Sur-natures</w:t>
            </w:r>
            <w:proofErr w:type="spellEnd"/>
            <w:r w:rsidRPr="002D07BD">
              <w:rPr>
                <w:i/>
                <w:iCs/>
                <w:sz w:val="16"/>
                <w:szCs w:val="16"/>
              </w:rPr>
              <w:t>, sous-titre :</w:t>
            </w:r>
            <w:r w:rsidRPr="002D07BD">
              <w:rPr>
                <w:sz w:val="16"/>
                <w:szCs w:val="16"/>
              </w:rPr>
              <w:t> </w:t>
            </w:r>
            <w:r w:rsidRPr="002D07BD">
              <w:rPr>
                <w:i/>
                <w:iCs/>
                <w:sz w:val="16"/>
                <w:szCs w:val="16"/>
              </w:rPr>
              <w:t>Paradis artificiel</w:t>
            </w:r>
            <w:r w:rsidRPr="002D07BD">
              <w:rPr>
                <w:sz w:val="16"/>
                <w:szCs w:val="16"/>
              </w:rPr>
              <w:t> de Miguel Chevalier</w:t>
            </w:r>
          </w:p>
        </w:tc>
        <w:tc>
          <w:tcPr>
            <w:tcW w:w="1812" w:type="dxa"/>
          </w:tcPr>
          <w:p w14:paraId="0255253D" w14:textId="27940D66" w:rsidR="002D07BD" w:rsidRPr="002D07BD" w:rsidRDefault="000769EC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 w:rsidRPr="002D07BD">
              <w:rPr>
                <w:i/>
                <w:iCs/>
                <w:sz w:val="16"/>
                <w:szCs w:val="16"/>
              </w:rPr>
              <w:t xml:space="preserve">More </w:t>
            </w:r>
            <w:proofErr w:type="spellStart"/>
            <w:r w:rsidRPr="002D07BD">
              <w:rPr>
                <w:i/>
                <w:iCs/>
                <w:sz w:val="16"/>
                <w:szCs w:val="16"/>
              </w:rPr>
              <w:t>Sweetly</w:t>
            </w:r>
            <w:proofErr w:type="spellEnd"/>
            <w:r w:rsidRPr="002D07BD">
              <w:rPr>
                <w:i/>
                <w:iCs/>
                <w:sz w:val="16"/>
                <w:szCs w:val="16"/>
              </w:rPr>
              <w:t xml:space="preserve"> Play the Dance </w:t>
            </w:r>
            <w:r w:rsidRPr="002D07BD">
              <w:rPr>
                <w:sz w:val="16"/>
                <w:szCs w:val="16"/>
              </w:rPr>
              <w:t>de William KENTRIDGE</w:t>
            </w:r>
          </w:p>
        </w:tc>
        <w:tc>
          <w:tcPr>
            <w:tcW w:w="1813" w:type="dxa"/>
          </w:tcPr>
          <w:p w14:paraId="46DDD94A" w14:textId="77777777" w:rsidR="002D07BD" w:rsidRDefault="002D07BD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 w:rsidRPr="002D07BD">
              <w:rPr>
                <w:sz w:val="16"/>
                <w:szCs w:val="16"/>
              </w:rPr>
              <w:t>Autres références</w:t>
            </w:r>
          </w:p>
          <w:p w14:paraId="178257ED" w14:textId="0C4987B6" w:rsidR="009527E2" w:rsidRPr="002D07BD" w:rsidRDefault="009527E2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 w:rsidRPr="009527E2">
              <w:rPr>
                <w:i/>
                <w:iCs/>
                <w:sz w:val="16"/>
                <w:szCs w:val="16"/>
              </w:rPr>
              <w:t xml:space="preserve">Salon </w:t>
            </w:r>
            <w:proofErr w:type="spellStart"/>
            <w:r w:rsidRPr="009527E2">
              <w:rPr>
                <w:i/>
                <w:iCs/>
                <w:sz w:val="16"/>
                <w:szCs w:val="16"/>
              </w:rPr>
              <w:t>Agam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 w:rsidRPr="009527E2">
              <w:rPr>
                <w:sz w:val="16"/>
                <w:szCs w:val="16"/>
              </w:rPr>
              <w:t>Yaacov</w:t>
            </w:r>
            <w:proofErr w:type="spellEnd"/>
            <w:r w:rsidRPr="009527E2">
              <w:rPr>
                <w:sz w:val="16"/>
                <w:szCs w:val="16"/>
              </w:rPr>
              <w:t xml:space="preserve"> </w:t>
            </w:r>
            <w:proofErr w:type="spellStart"/>
            <w:r w:rsidRPr="009527E2">
              <w:rPr>
                <w:sz w:val="16"/>
                <w:szCs w:val="16"/>
              </w:rPr>
              <w:t>Agam</w:t>
            </w:r>
            <w:proofErr w:type="spellEnd"/>
          </w:p>
        </w:tc>
        <w:tc>
          <w:tcPr>
            <w:tcW w:w="1813" w:type="dxa"/>
          </w:tcPr>
          <w:p w14:paraId="7E73CC81" w14:textId="0E7121B1" w:rsidR="002D07BD" w:rsidRPr="002D07BD" w:rsidRDefault="002D07BD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 w:rsidRPr="002D07BD">
              <w:rPr>
                <w:sz w:val="16"/>
                <w:szCs w:val="16"/>
              </w:rPr>
              <w:t>Point clé, enjeux plastiques</w:t>
            </w:r>
          </w:p>
        </w:tc>
      </w:tr>
      <w:tr w:rsidR="002D07BD" w:rsidRPr="002D07BD" w14:paraId="141EF301" w14:textId="77777777" w:rsidTr="002D07BD">
        <w:tc>
          <w:tcPr>
            <w:tcW w:w="1812" w:type="dxa"/>
          </w:tcPr>
          <w:p w14:paraId="3B136072" w14:textId="5CC74BC8" w:rsidR="002D07BD" w:rsidRPr="002D07BD" w:rsidRDefault="000769EC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rapport au spectateur</w:t>
            </w:r>
          </w:p>
        </w:tc>
        <w:tc>
          <w:tcPr>
            <w:tcW w:w="1812" w:type="dxa"/>
          </w:tcPr>
          <w:p w14:paraId="55FE4675" w14:textId="77777777" w:rsidR="002D07BD" w:rsidRDefault="00020308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Déplacement du spectateur déclenche une interaction avec l’œuvre, spectateur actif dans l’œuvre</w:t>
            </w:r>
          </w:p>
          <w:p w14:paraId="7167CC7A" w14:textId="460BF74A" w:rsidR="005E0563" w:rsidRPr="002D07BD" w:rsidRDefault="005E0563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361C6712" w14:textId="0973B707" w:rsidR="005E0563" w:rsidRPr="002D07BD" w:rsidRDefault="00020308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Aucune interaction avec le spectateur</w:t>
            </w:r>
            <w:r w:rsidR="009558EE">
              <w:rPr>
                <w:sz w:val="16"/>
                <w:szCs w:val="16"/>
              </w:rPr>
              <w:t>, i</w:t>
            </w:r>
            <w:r w:rsidR="00A565C7">
              <w:rPr>
                <w:sz w:val="16"/>
                <w:szCs w:val="16"/>
              </w:rPr>
              <w:t>mmersion</w:t>
            </w:r>
            <w:r w:rsidR="00A565C7">
              <w:rPr>
                <w:sz w:val="16"/>
                <w:szCs w:val="16"/>
              </w:rPr>
              <w:t xml:space="preserve"> totale comme si on assistait à cette scène dans la vraie vie, comme si c’était vivant</w:t>
            </w:r>
            <w:r w:rsidR="00E5690C">
              <w:rPr>
                <w:sz w:val="16"/>
                <w:szCs w:val="16"/>
              </w:rPr>
              <w:t xml:space="preserve"> ou un souvenir</w:t>
            </w:r>
          </w:p>
        </w:tc>
        <w:tc>
          <w:tcPr>
            <w:tcW w:w="1813" w:type="dxa"/>
          </w:tcPr>
          <w:p w14:paraId="7AAAF607" w14:textId="1E085D41" w:rsidR="002D07BD" w:rsidRPr="002D07BD" w:rsidRDefault="00CB6398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Aucune déambulation dans le décor, le spectateur reste passif.</w:t>
            </w:r>
          </w:p>
        </w:tc>
        <w:tc>
          <w:tcPr>
            <w:tcW w:w="1813" w:type="dxa"/>
          </w:tcPr>
          <w:p w14:paraId="01D6B935" w14:textId="77777777" w:rsidR="002D07BD" w:rsidRDefault="002D07BD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</w:p>
          <w:p w14:paraId="0BAD583E" w14:textId="2890A52D" w:rsidR="00DF6316" w:rsidRPr="002D07BD" w:rsidRDefault="00B03A5B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Immersion du spectateur, dialogue avec le spectateur</w:t>
            </w:r>
          </w:p>
        </w:tc>
      </w:tr>
      <w:tr w:rsidR="00A565C7" w:rsidRPr="002D07BD" w14:paraId="1BEC0481" w14:textId="77777777" w:rsidTr="002D07BD">
        <w:tc>
          <w:tcPr>
            <w:tcW w:w="1812" w:type="dxa"/>
          </w:tcPr>
          <w:p w14:paraId="025D34D9" w14:textId="4C598B25" w:rsidR="00A565C7" w:rsidRPr="002D07BD" w:rsidRDefault="00A565C7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Matérialité et technique des œuvres  </w:t>
            </w:r>
          </w:p>
        </w:tc>
        <w:tc>
          <w:tcPr>
            <w:tcW w:w="1812" w:type="dxa"/>
          </w:tcPr>
          <w:p w14:paraId="4CC1273F" w14:textId="7939B5F6" w:rsidR="00A565C7" w:rsidRPr="002D07BD" w:rsidRDefault="00A565C7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Algorithmes, écrans </w:t>
            </w:r>
            <w:r>
              <w:rPr>
                <w:sz w:val="16"/>
                <w:szCs w:val="16"/>
              </w:rPr>
              <w:t>et capteurs, alliance entre la technologie et l’art</w:t>
            </w:r>
            <w:r w:rsidR="00257E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</w:tcPr>
          <w:p w14:paraId="290B817E" w14:textId="1C7CC261" w:rsidR="00A565C7" w:rsidRPr="002D07BD" w:rsidRDefault="00A565C7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Ecrans haute définition, son</w:t>
            </w:r>
            <w:r w:rsidR="00257EB6">
              <w:rPr>
                <w:sz w:val="16"/>
                <w:szCs w:val="16"/>
              </w:rPr>
              <w:t xml:space="preserve"> avec 4 portes voix, installation à taille humaine (chaises, tables)</w:t>
            </w:r>
          </w:p>
        </w:tc>
        <w:tc>
          <w:tcPr>
            <w:tcW w:w="1813" w:type="dxa"/>
          </w:tcPr>
          <w:p w14:paraId="397394F1" w14:textId="6D56D1A6" w:rsidR="00A565C7" w:rsidRPr="002D07BD" w:rsidRDefault="00CB6398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Installation très colorée, art cinétique</w:t>
            </w:r>
            <w:r w:rsidR="000D33A9">
              <w:rPr>
                <w:sz w:val="16"/>
                <w:szCs w:val="16"/>
              </w:rPr>
              <w:t xml:space="preserve"> (parties en mouvement)</w:t>
            </w:r>
          </w:p>
        </w:tc>
        <w:tc>
          <w:tcPr>
            <w:tcW w:w="1813" w:type="dxa"/>
          </w:tcPr>
          <w:p w14:paraId="140017D5" w14:textId="77777777" w:rsidR="00A565C7" w:rsidRDefault="00A565C7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</w:p>
          <w:p w14:paraId="2225B70C" w14:textId="45B5AF15" w:rsidR="00B03A5B" w:rsidRPr="002D07BD" w:rsidRDefault="00B03A5B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et immersion du spectateur</w:t>
            </w:r>
          </w:p>
        </w:tc>
      </w:tr>
      <w:tr w:rsidR="00A565C7" w:rsidRPr="002D07BD" w14:paraId="004F3B13" w14:textId="77777777" w:rsidTr="002D07BD">
        <w:tc>
          <w:tcPr>
            <w:tcW w:w="1812" w:type="dxa"/>
          </w:tcPr>
          <w:p w14:paraId="487584BB" w14:textId="6A7746C1" w:rsidR="00A565C7" w:rsidRPr="002D07BD" w:rsidRDefault="008A709B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hèmes immersifs</w:t>
            </w:r>
          </w:p>
        </w:tc>
        <w:tc>
          <w:tcPr>
            <w:tcW w:w="1812" w:type="dxa"/>
          </w:tcPr>
          <w:p w14:paraId="5F71D8CB" w14:textId="541AAF78" w:rsidR="00A565C7" w:rsidRPr="002D07BD" w:rsidRDefault="009558EE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Création de la vie (plantes qui poussent avec l’action du spectateur) qui fanent dès la sortie du spectateur</w:t>
            </w:r>
          </w:p>
        </w:tc>
        <w:tc>
          <w:tcPr>
            <w:tcW w:w="1812" w:type="dxa"/>
          </w:tcPr>
          <w:p w14:paraId="2D96BBF0" w14:textId="3F3D0BD1" w:rsidR="00A565C7" w:rsidRPr="002D07BD" w:rsidRDefault="009558EE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Spectateur </w:t>
            </w:r>
            <w:r>
              <w:rPr>
                <w:sz w:val="16"/>
                <w:szCs w:val="16"/>
              </w:rPr>
              <w:t>qui avance au fil de la danse macabre dans un contexte de famine et de peste.</w:t>
            </w:r>
          </w:p>
        </w:tc>
        <w:tc>
          <w:tcPr>
            <w:tcW w:w="1813" w:type="dxa"/>
          </w:tcPr>
          <w:p w14:paraId="0AB4B803" w14:textId="6B33F7C1" w:rsidR="00A565C7" w:rsidRPr="002D07BD" w:rsidRDefault="000D33A9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 un monde coloré que personne ne peut atteindre, vivant avec ce mouvement de l’œuvre.</w:t>
            </w:r>
          </w:p>
        </w:tc>
        <w:tc>
          <w:tcPr>
            <w:tcW w:w="1813" w:type="dxa"/>
          </w:tcPr>
          <w:p w14:paraId="4181B629" w14:textId="77777777" w:rsidR="00A565C7" w:rsidRDefault="00A565C7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</w:p>
          <w:p w14:paraId="52040C0D" w14:textId="4FA1A33F" w:rsidR="00B03A5B" w:rsidRPr="002D07BD" w:rsidRDefault="00B03A5B" w:rsidP="00257EB6">
            <w:pPr>
              <w:pStyle w:val="Studys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Transportation et immersion du spectateur dans un monde nouveau/différent</w:t>
            </w:r>
          </w:p>
        </w:tc>
      </w:tr>
    </w:tbl>
    <w:p w14:paraId="545D42E8" w14:textId="77777777" w:rsidR="00DF6316" w:rsidRDefault="00DF6316" w:rsidP="00DF6316">
      <w:pPr>
        <w:pStyle w:val="Studys"/>
        <w:spacing w:line="360" w:lineRule="auto"/>
        <w:jc w:val="left"/>
        <w:rPr>
          <w:sz w:val="16"/>
          <w:szCs w:val="16"/>
        </w:rPr>
      </w:pPr>
    </w:p>
    <w:p w14:paraId="490D48D2" w14:textId="77777777" w:rsidR="00DF6316" w:rsidRDefault="00DF6316" w:rsidP="00DF6316">
      <w:pPr>
        <w:pStyle w:val="Studys"/>
        <w:spacing w:line="360" w:lineRule="auto"/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Intro : </w:t>
      </w:r>
    </w:p>
    <w:p w14:paraId="667BC48D" w14:textId="5C0BD652" w:rsidR="00D53325" w:rsidRDefault="00DF6316" w:rsidP="00DF6316">
      <w:pPr>
        <w:pStyle w:val="Studys"/>
        <w:numPr>
          <w:ilvl w:val="0"/>
          <w:numId w:val="1"/>
        </w:numPr>
        <w:spacing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>Pb : En quoi ces œuvres transportent le spectateur dans un univers différent ?</w:t>
      </w:r>
    </w:p>
    <w:p w14:paraId="7283BF40" w14:textId="4C68B1B6" w:rsidR="00DF6316" w:rsidRDefault="00DF6316" w:rsidP="00DF6316">
      <w:pPr>
        <w:pStyle w:val="Studys"/>
        <w:numPr>
          <w:ilvl w:val="0"/>
          <w:numId w:val="1"/>
        </w:numPr>
        <w:spacing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Plan </w:t>
      </w:r>
    </w:p>
    <w:p w14:paraId="43436B8A" w14:textId="641C783F" w:rsidR="00DF6316" w:rsidRDefault="00DF6316" w:rsidP="00DF6316">
      <w:pPr>
        <w:pStyle w:val="Studys"/>
        <w:numPr>
          <w:ilvl w:val="1"/>
          <w:numId w:val="1"/>
        </w:numPr>
        <w:spacing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>Axe 1</w:t>
      </w:r>
      <w:r w:rsidR="00B03A5B">
        <w:rPr>
          <w:sz w:val="16"/>
          <w:szCs w:val="16"/>
        </w:rPr>
        <w:t xml:space="preserve"> : </w:t>
      </w:r>
      <w:r w:rsidR="00B03A5B">
        <w:rPr>
          <w:sz w:val="16"/>
          <w:szCs w:val="16"/>
        </w:rPr>
        <w:t>Thèmes immersifs</w:t>
      </w:r>
    </w:p>
    <w:p w14:paraId="6CECD4AA" w14:textId="44423E9D" w:rsidR="00B03A5B" w:rsidRDefault="00B03A5B" w:rsidP="00DF6316">
      <w:pPr>
        <w:pStyle w:val="Studys"/>
        <w:numPr>
          <w:ilvl w:val="1"/>
          <w:numId w:val="1"/>
        </w:numPr>
        <w:spacing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Axe 2 : </w:t>
      </w:r>
      <w:r>
        <w:rPr>
          <w:sz w:val="16"/>
          <w:szCs w:val="16"/>
        </w:rPr>
        <w:t>Le rapport au spectateur</w:t>
      </w:r>
    </w:p>
    <w:p w14:paraId="2028C8A5" w14:textId="0D22FEF8" w:rsidR="00B03A5B" w:rsidRDefault="00B03A5B" w:rsidP="00DF6316">
      <w:pPr>
        <w:pStyle w:val="Studys"/>
        <w:numPr>
          <w:ilvl w:val="1"/>
          <w:numId w:val="1"/>
        </w:numPr>
        <w:spacing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Axe 3 : </w:t>
      </w:r>
      <w:r>
        <w:rPr>
          <w:sz w:val="16"/>
          <w:szCs w:val="16"/>
        </w:rPr>
        <w:t xml:space="preserve">Matérialité et technique des œuvres  </w:t>
      </w:r>
    </w:p>
    <w:p w14:paraId="7B3257A9" w14:textId="62009BA6" w:rsidR="00DA5349" w:rsidRDefault="00DA5349" w:rsidP="00DA5349">
      <w:pPr>
        <w:pStyle w:val="Studys"/>
        <w:spacing w:line="360" w:lineRule="auto"/>
        <w:ind w:left="708"/>
        <w:jc w:val="left"/>
        <w:rPr>
          <w:sz w:val="16"/>
          <w:szCs w:val="16"/>
        </w:rPr>
      </w:pPr>
      <w:r>
        <w:rPr>
          <w:sz w:val="16"/>
          <w:szCs w:val="16"/>
        </w:rPr>
        <w:t>Axe 1</w:t>
      </w:r>
    </w:p>
    <w:p w14:paraId="1FF76C51" w14:textId="529B87A8" w:rsidR="00DA5349" w:rsidRDefault="009527E2" w:rsidP="00DA5349">
      <w:pPr>
        <w:pStyle w:val="Studys"/>
        <w:spacing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Pour commencer cette comparaison d’œuvre, nous allons tout d’abord voir ce sur quoi nos axes vont êtres basés. </w:t>
      </w:r>
      <w:r w:rsidR="00621D33">
        <w:rPr>
          <w:sz w:val="16"/>
          <w:szCs w:val="16"/>
        </w:rPr>
        <w:t xml:space="preserve">L’ouvre la plus ancienne mais aussi ma référence personnelle, </w:t>
      </w:r>
      <w:r w:rsidR="00621D33" w:rsidRPr="009527E2">
        <w:rPr>
          <w:i/>
          <w:iCs/>
          <w:sz w:val="16"/>
          <w:szCs w:val="16"/>
        </w:rPr>
        <w:t xml:space="preserve">Salon </w:t>
      </w:r>
      <w:proofErr w:type="spellStart"/>
      <w:r w:rsidR="00621D33" w:rsidRPr="009527E2">
        <w:rPr>
          <w:i/>
          <w:iCs/>
          <w:sz w:val="16"/>
          <w:szCs w:val="16"/>
        </w:rPr>
        <w:t>Agam</w:t>
      </w:r>
      <w:proofErr w:type="spellEnd"/>
      <w:r w:rsidR="00621D33">
        <w:rPr>
          <w:sz w:val="16"/>
          <w:szCs w:val="16"/>
        </w:rPr>
        <w:t xml:space="preserve"> de </w:t>
      </w:r>
      <w:proofErr w:type="spellStart"/>
      <w:r w:rsidR="00621D33" w:rsidRPr="009527E2">
        <w:rPr>
          <w:sz w:val="16"/>
          <w:szCs w:val="16"/>
        </w:rPr>
        <w:t>Yaacov</w:t>
      </w:r>
      <w:proofErr w:type="spellEnd"/>
      <w:r w:rsidR="00621D33" w:rsidRPr="009527E2">
        <w:rPr>
          <w:sz w:val="16"/>
          <w:szCs w:val="16"/>
        </w:rPr>
        <w:t xml:space="preserve"> </w:t>
      </w:r>
      <w:proofErr w:type="spellStart"/>
      <w:r w:rsidR="00621D33" w:rsidRPr="009527E2">
        <w:rPr>
          <w:sz w:val="16"/>
          <w:szCs w:val="16"/>
        </w:rPr>
        <w:t>Agam</w:t>
      </w:r>
      <w:proofErr w:type="spellEnd"/>
      <w:r w:rsidR="00621D33">
        <w:rPr>
          <w:sz w:val="16"/>
          <w:szCs w:val="16"/>
        </w:rPr>
        <w:t xml:space="preserve"> est une installation très colorée et un aménagement dans l’antichambre des appartements privés au Palais de l’Elysée originellement pour le président Georges Pompidou entre 1972 et 1974. </w:t>
      </w:r>
      <w:r w:rsidR="00E24690">
        <w:rPr>
          <w:sz w:val="16"/>
          <w:szCs w:val="16"/>
        </w:rPr>
        <w:t xml:space="preserve">Puis nous avons </w:t>
      </w:r>
      <w:proofErr w:type="spellStart"/>
      <w:r w:rsidRPr="002D07BD">
        <w:rPr>
          <w:i/>
          <w:iCs/>
          <w:sz w:val="16"/>
          <w:szCs w:val="16"/>
        </w:rPr>
        <w:t>Sur-natures</w:t>
      </w:r>
      <w:proofErr w:type="spellEnd"/>
      <w:r w:rsidRPr="002D07BD">
        <w:rPr>
          <w:i/>
          <w:iCs/>
          <w:sz w:val="16"/>
          <w:szCs w:val="16"/>
        </w:rPr>
        <w:t>, sous-titre :</w:t>
      </w:r>
      <w:r w:rsidRPr="002D07BD">
        <w:rPr>
          <w:sz w:val="16"/>
          <w:szCs w:val="16"/>
        </w:rPr>
        <w:t> </w:t>
      </w:r>
      <w:r w:rsidRPr="002D07BD">
        <w:rPr>
          <w:i/>
          <w:iCs/>
          <w:sz w:val="16"/>
          <w:szCs w:val="16"/>
        </w:rPr>
        <w:t>Paradis artificiel</w:t>
      </w:r>
      <w:r w:rsidRPr="002D07BD">
        <w:rPr>
          <w:sz w:val="16"/>
          <w:szCs w:val="16"/>
        </w:rPr>
        <w:t> de Miguel Chevalier</w:t>
      </w:r>
      <w:r>
        <w:rPr>
          <w:sz w:val="16"/>
          <w:szCs w:val="16"/>
        </w:rPr>
        <w:t xml:space="preserve">, </w:t>
      </w:r>
      <w:r w:rsidR="00621D33">
        <w:rPr>
          <w:sz w:val="16"/>
          <w:szCs w:val="16"/>
        </w:rPr>
        <w:t>deuxième</w:t>
      </w:r>
      <w:r>
        <w:rPr>
          <w:sz w:val="16"/>
          <w:szCs w:val="16"/>
        </w:rPr>
        <w:t xml:space="preserve"> œuvre que nous allons étudier, date de 2004 et fait partie du programme de terminale. </w:t>
      </w:r>
    </w:p>
    <w:p w14:paraId="09781BF3" w14:textId="77777777" w:rsidR="00B03A5B" w:rsidRPr="00D53325" w:rsidRDefault="00B03A5B" w:rsidP="00B03A5B">
      <w:pPr>
        <w:pStyle w:val="Studys"/>
        <w:spacing w:line="360" w:lineRule="auto"/>
        <w:ind w:left="720"/>
        <w:jc w:val="left"/>
        <w:rPr>
          <w:sz w:val="16"/>
          <w:szCs w:val="16"/>
        </w:rPr>
      </w:pPr>
    </w:p>
    <w:sectPr w:rsidR="00B03A5B" w:rsidRPr="00D5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5A90"/>
    <w:multiLevelType w:val="hybridMultilevel"/>
    <w:tmpl w:val="2C5A0004"/>
    <w:lvl w:ilvl="0" w:tplc="2C70411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86"/>
    <w:rsid w:val="00020308"/>
    <w:rsid w:val="000769EC"/>
    <w:rsid w:val="000D33A9"/>
    <w:rsid w:val="00143226"/>
    <w:rsid w:val="00257EB6"/>
    <w:rsid w:val="002D07BD"/>
    <w:rsid w:val="00331A87"/>
    <w:rsid w:val="00466C9F"/>
    <w:rsid w:val="005958E3"/>
    <w:rsid w:val="005E0563"/>
    <w:rsid w:val="00621D33"/>
    <w:rsid w:val="006E7403"/>
    <w:rsid w:val="007038E0"/>
    <w:rsid w:val="008425FD"/>
    <w:rsid w:val="008A709B"/>
    <w:rsid w:val="009527E2"/>
    <w:rsid w:val="009558EE"/>
    <w:rsid w:val="009D0486"/>
    <w:rsid w:val="00A565C7"/>
    <w:rsid w:val="00B03A5B"/>
    <w:rsid w:val="00CB6398"/>
    <w:rsid w:val="00D53325"/>
    <w:rsid w:val="00DA5349"/>
    <w:rsid w:val="00DF6316"/>
    <w:rsid w:val="00E24690"/>
    <w:rsid w:val="00E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505C"/>
  <w15:chartTrackingRefBased/>
  <w15:docId w15:val="{9D4F0F84-4902-4FF3-AD5E-BDA394FB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4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9D0486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9D0486"/>
    <w:rPr>
      <w:rFonts w:ascii="Arial" w:hAnsi="Arial" w:cs="Arial"/>
      <w:color w:val="000000"/>
      <w:sz w:val="28"/>
    </w:rPr>
  </w:style>
  <w:style w:type="table" w:styleId="Grilledutableau">
    <w:name w:val="Table Grid"/>
    <w:basedOn w:val="TableauNormal"/>
    <w:uiPriority w:val="39"/>
    <w:rsid w:val="002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FFAD-9225-4D3A-860F-FBBF0538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KEIFF Floryne</dc:creator>
  <cp:keywords/>
  <dc:description/>
  <cp:lastModifiedBy>KEIFF Floryne</cp:lastModifiedBy>
  <cp:revision>16</cp:revision>
  <dcterms:created xsi:type="dcterms:W3CDTF">2023-09-22T06:42:00Z</dcterms:created>
  <dcterms:modified xsi:type="dcterms:W3CDTF">2023-09-29T07:53:00Z</dcterms:modified>
</cp:coreProperties>
</file>