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 xml:space="preserve">En tant que curateur,</w:t>
      </w:r>
    </w:p>
    <w:p w:rsidR="00000000" w:rsidDel="00000000" w:rsidP="00000000" w:rsidRDefault="00000000" w:rsidRPr="00000000" w14:paraId="00000002">
      <w:pPr>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 xml:space="preserve">Mon équipe et moi-même souhaiterions réaliser une exposition rétrospective où l'œuvre maîtresse serait celle de Rembrandt van Rijn “La Leçon d’Anatomie du Docteur Nicolaes Tulp”, datant de 1632. En effet, l'œuvre étant assignée au domaine public, nous en avons les autorisations. Historiquement, ces œuvres ayant été réalisées au milieu de l’âge d’or néerlandais à Amsterdam, nous souhaiterions les exposer à nouveau dans sa ville de création, dans la galerie d’art FOAM lieu où sont souvent représenté des rétrospectives comme celle de Helmut Newton qui c’est tenu du 17 juin au 4 septembre 2016.</w:t>
      </w:r>
    </w:p>
    <w:p w:rsidR="00000000" w:rsidDel="00000000" w:rsidP="00000000" w:rsidRDefault="00000000" w:rsidRPr="00000000" w14:paraId="00000003">
      <w:pPr>
        <w:ind w:firstLine="720"/>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 xml:space="preserve">L’exposition sera réalisée dans l’une des salles de la galerie et se présentera sous la forme de photographies. Dans le cas de l'œuvre maîtresse, elle sera imprimée aux dimensions 2.50 m x 3.20 m, soit afin d’attirer le regard du spectateur sur la photographie. Soutenu par des fils perlon directement accroché au plafond de part et d’autre de la verrière. Afin de recréer une ambiance d’antan, tout comme la première exposition de l’œuvre au Mauritshuis, les murs seront recouverts de couleur rouge et le sol sera recouvert d’une reproduction du carrelage d’origine. Comparée au point de vue de 1884, la lumière naturelle ne provient pas du côté gauche, mais est zénithale. Étant la contrainte architecturale imposée, nous installerons pour éviter une surbrillance, des filtres transparents teintés orange seront disposés sur les fenêtres, ainsi cela viendra compléter la reproduction de l’ambiance voulut. Un dispositif d'éclairage led à température neutre sera disposé de sorte à éclairer la partie supérieure des œuvres, cet éclairage ne sera actif qu’à la tombée de la lumière naturelle encore une fois pour éviter une surbrillance sur ces œuvres qui sont très sombres. Au centre de la pièce des banquettes style baroque seront disposées tout comme l’exposition de 1884. Pour respecter la présentation de cette dernière, le dispositif de sécurité sera reproduit aussi pour que le seul contraste visible soit le support sur lequel le spectateur pourra voir les œuvres, mélangeant ainsi l’ambiance d’antan et les outils modernes. Au niveau du dispositif d’explication et d’information nous installerons un pupitre cartel devant l'œuvre maîtresse en y ajoutant aussi un texte explicatif encadré sur la droite qui viendra l'accompagner en expliquant le but, la raison, de l’exposition et une courte biographie de l’auteur. </w:t>
      </w:r>
    </w:p>
    <w:p w:rsidR="00000000" w:rsidDel="00000000" w:rsidP="00000000" w:rsidRDefault="00000000" w:rsidRPr="00000000" w14:paraId="00000004">
      <w:pPr>
        <w:ind w:firstLine="720"/>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 xml:space="preserve">L'intérêt de cette rétrospective est de renvoyer le spectateur en 1884, faire découvrir des œuvres sorties tout droit de l’âge d’or néerlandais et alors introduire l’un des plus grands peintres du 17e siècle. Ainsi, le spectateur se retrouve contemplatif et immergé par la présentation complète, et se retrouve dominé par l'œuvre maîtresse. L’exposition est accessible à tout le monde et à tout âge, disponible du 01 mars 2022 au 01 juin 2022 de 09 h 00 à 22 h 00. Pour les personnes ayant moins de 25 ans, l'entrée sera gratuite et au-delà le prix sera de 12,50 €.</w:t>
      </w:r>
    </w:p>
    <w:p w:rsidR="00000000" w:rsidDel="00000000" w:rsidP="00000000" w:rsidRDefault="00000000" w:rsidRPr="00000000" w14:paraId="00000005">
      <w:pPr>
        <w:ind w:firstLine="720"/>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 xml:space="preserve">Afin de diffuser la publicité des affiches seront installées dans les rues d’Amsterdam, une campagne sur les réseaux sociaux sera aussi effectuée. Évidemment, les actualités et la billetterie seront disponibles sur le site officiel de la galerie.</w:t>
      </w:r>
    </w:p>
    <w:p w:rsidR="00000000" w:rsidDel="00000000" w:rsidP="00000000" w:rsidRDefault="00000000" w:rsidRPr="00000000" w14:paraId="00000006">
      <w:pPr>
        <w:ind w:left="0" w:firstLine="0"/>
        <w:jc w:val="both"/>
        <w:rPr>
          <w:rFonts w:ascii="EB Garamond" w:cs="EB Garamond" w:eastAsia="EB Garamond" w:hAnsi="EB Garamond"/>
          <w:color w:val="1d1d1d"/>
          <w:sz w:val="28"/>
          <w:szCs w:val="28"/>
          <w:highlight w:val="white"/>
        </w:rPr>
      </w:pPr>
      <w:r w:rsidDel="00000000" w:rsidR="00000000" w:rsidRPr="00000000">
        <w:rPr>
          <w:rFonts w:ascii="EB Garamond" w:cs="EB Garamond" w:eastAsia="EB Garamond" w:hAnsi="EB Garamond"/>
          <w:color w:val="1d1d1d"/>
          <w:sz w:val="28"/>
          <w:szCs w:val="28"/>
          <w:highlight w:val="white"/>
          <w:rtl w:val="0"/>
        </w:rPr>
        <w:tab/>
        <w:t xml:space="preserve">Pour plus de visualisation nous pouvons citer à nouveau Antoon François Heijligers “Salle dédiée à Rembrandt au musée Mauritshuis” de 1884, huile sur toile de 47 x 59 cm, qui est le modèle principale de notre exposition ou bien encore l’exposition de Helmut Newton qui nous a inspiré l’idée de la rétrospective. Nous pouvons également mettre en lien avec l'œuvre de Claude Monet et son œuvre “Le cycle des nymphéas” qui rejoint cette idée de contrainte architecturale, mais contrairement à son exposition nous nous adaptons au lieu que nous avons choisi. </w:t>
      </w:r>
    </w:p>
    <w:p w:rsidR="00000000" w:rsidDel="00000000" w:rsidP="00000000" w:rsidRDefault="00000000" w:rsidRPr="00000000" w14:paraId="00000007">
      <w:pPr>
        <w:ind w:left="0" w:firstLine="0"/>
        <w:jc w:val="both"/>
        <w:rPr>
          <w:rFonts w:ascii="EB Garamond" w:cs="EB Garamond" w:eastAsia="EB Garamond" w:hAnsi="EB Garamond"/>
          <w:color w:val="1d1d1d"/>
          <w:sz w:val="28"/>
          <w:szCs w:val="28"/>
          <w:highlight w:val="white"/>
        </w:rPr>
      </w:pPr>
      <w:r w:rsidDel="00000000" w:rsidR="00000000" w:rsidRPr="00000000">
        <w:rPr>
          <w:rtl w:val="0"/>
        </w:rPr>
      </w:r>
    </w:p>
    <w:p w:rsidR="00000000" w:rsidDel="00000000" w:rsidP="00000000" w:rsidRDefault="00000000" w:rsidRPr="00000000" w14:paraId="00000008">
      <w:pPr>
        <w:ind w:left="0" w:firstLine="0"/>
        <w:jc w:val="both"/>
        <w:rPr>
          <w:rFonts w:ascii="EB Garamond" w:cs="EB Garamond" w:eastAsia="EB Garamond" w:hAnsi="EB Garamond"/>
          <w:color w:val="1d1d1d"/>
          <w:sz w:val="28"/>
          <w:szCs w:val="28"/>
          <w:highlight w:val="white"/>
        </w:rPr>
      </w:pPr>
      <w:r w:rsidDel="00000000" w:rsidR="00000000" w:rsidRPr="00000000">
        <w:rPr>
          <w:rtl w:val="0"/>
        </w:rPr>
      </w:r>
    </w:p>
    <w:p w:rsidR="00000000" w:rsidDel="00000000" w:rsidP="00000000" w:rsidRDefault="00000000" w:rsidRPr="00000000" w14:paraId="00000009">
      <w:pPr>
        <w:ind w:left="0" w:firstLine="0"/>
        <w:jc w:val="both"/>
        <w:rPr>
          <w:rFonts w:ascii="EB Garamond" w:cs="EB Garamond" w:eastAsia="EB Garamond" w:hAnsi="EB Garamond"/>
          <w:color w:val="1d1d1d"/>
          <w:sz w:val="28"/>
          <w:szCs w:val="2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