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21B2" w14:textId="370014F4" w:rsidR="003E0C28" w:rsidRPr="003E0C28" w:rsidRDefault="003E0C28" w:rsidP="003E0C28">
      <w:pPr>
        <w:jc w:val="center"/>
        <w:rPr>
          <w:sz w:val="24"/>
          <w:szCs w:val="24"/>
          <w:u w:val="single"/>
        </w:rPr>
      </w:pPr>
      <w:r w:rsidRPr="003E0C28">
        <w:rPr>
          <w:sz w:val="24"/>
          <w:szCs w:val="24"/>
          <w:u w:val="single"/>
        </w:rPr>
        <w:t>Liens entre l’exposition « Extra-Natural » et Le Cycle des Nymphéas</w:t>
      </w:r>
    </w:p>
    <w:p w14:paraId="6B18377E" w14:textId="34AE085C" w:rsidR="003E0C28" w:rsidRDefault="003E0C28">
      <w:r w:rsidRPr="003E0C28">
        <w:rPr>
          <w:u w:val="single"/>
        </w:rPr>
        <w:t>Le Cycle des Nymphéas</w:t>
      </w:r>
      <w:r>
        <w:t xml:space="preserve"> de Claude MONET (création de 1897 à 1926), musée de l’Orangerie, Paris</w:t>
      </w:r>
    </w:p>
    <w:p w14:paraId="6C820E81" w14:textId="3D05FA01" w:rsidR="003E0C28" w:rsidRDefault="003E0C28">
      <w:r>
        <w:t xml:space="preserve">Exposition </w:t>
      </w:r>
      <w:r w:rsidRPr="003E0C28">
        <w:rPr>
          <w:u w:val="single"/>
        </w:rPr>
        <w:t>Extra-Natural</w:t>
      </w:r>
      <w:r>
        <w:t xml:space="preserve"> de Miguel CHEVALIER (du 25 juin au 24 octobre 2021), musée de Gajac, Villeneuve-sur-Lot</w:t>
      </w:r>
    </w:p>
    <w:p w14:paraId="2954C504" w14:textId="77777777" w:rsidR="0026431F" w:rsidRDefault="0026431F"/>
    <w:p w14:paraId="3D2E0A51" w14:textId="4E161E1F" w:rsidR="009B00BB" w:rsidRDefault="009B00BB">
      <w:pPr>
        <w:rPr>
          <w:b/>
          <w:bCs/>
        </w:rPr>
      </w:pPr>
      <w:r w:rsidRPr="00AD26A6">
        <w:rPr>
          <w:b/>
          <w:bCs/>
          <w:color w:val="C45911" w:themeColor="accent2" w:themeShade="BF"/>
        </w:rPr>
        <w:t>Points communs</w:t>
      </w:r>
      <w:r w:rsidR="00AD26A6">
        <w:rPr>
          <w:b/>
          <w:bCs/>
        </w:rPr>
        <w:tab/>
      </w:r>
      <w:r w:rsidR="00AD26A6">
        <w:rPr>
          <w:b/>
          <w:bCs/>
        </w:rPr>
        <w:tab/>
      </w:r>
      <w:r w:rsidR="00AD26A6" w:rsidRPr="00AD26A6">
        <w:rPr>
          <w:b/>
          <w:bCs/>
          <w:color w:val="7030A0"/>
        </w:rPr>
        <w:t>Différences</w:t>
      </w:r>
    </w:p>
    <w:p w14:paraId="218842AD" w14:textId="7FF5DF93" w:rsidR="009C1ADF" w:rsidRDefault="001F55C5" w:rsidP="003B31CF">
      <w:pPr>
        <w:pStyle w:val="Sansinterligne"/>
        <w:numPr>
          <w:ilvl w:val="0"/>
          <w:numId w:val="5"/>
        </w:numPr>
        <w:rPr>
          <w:color w:val="C45911" w:themeColor="accent2" w:themeShade="BF"/>
        </w:rPr>
      </w:pPr>
      <w:r w:rsidRPr="003B31CF">
        <w:rPr>
          <w:b/>
          <w:bCs/>
          <w:color w:val="C45911" w:themeColor="accent2" w:themeShade="BF"/>
        </w:rPr>
        <w:t>Végétal = référent</w:t>
      </w:r>
      <w:r w:rsidRPr="003B31CF">
        <w:rPr>
          <w:color w:val="C45911" w:themeColor="accent2" w:themeShade="BF"/>
        </w:rPr>
        <w:t> </w:t>
      </w:r>
      <w:r w:rsidR="00AD26A6" w:rsidRPr="003B31CF">
        <w:rPr>
          <w:color w:val="C45911" w:themeColor="accent2" w:themeShade="BF"/>
        </w:rPr>
        <w:sym w:font="Wingdings" w:char="F0E0"/>
      </w:r>
      <w:r w:rsidR="00AD26A6" w:rsidRPr="003B31CF">
        <w:rPr>
          <w:color w:val="C45911" w:themeColor="accent2" w:themeShade="BF"/>
        </w:rPr>
        <w:t xml:space="preserve"> les deux artistes </w:t>
      </w:r>
      <w:r w:rsidR="00542615" w:rsidRPr="003B31CF">
        <w:rPr>
          <w:color w:val="C45911" w:themeColor="accent2" w:themeShade="BF"/>
        </w:rPr>
        <w:t>pren</w:t>
      </w:r>
      <w:r w:rsidR="00AD26A6" w:rsidRPr="003B31CF">
        <w:rPr>
          <w:color w:val="C45911" w:themeColor="accent2" w:themeShade="BF"/>
        </w:rPr>
        <w:t>nent</w:t>
      </w:r>
      <w:r w:rsidR="00542615" w:rsidRPr="003B31CF">
        <w:rPr>
          <w:color w:val="C45911" w:themeColor="accent2" w:themeShade="BF"/>
        </w:rPr>
        <w:t xml:space="preserve"> appui sur l’observation du règne végétal et sa transposition imaginaire</w:t>
      </w:r>
      <w:r w:rsidR="002D53E0">
        <w:rPr>
          <w:color w:val="C45911" w:themeColor="accent2" w:themeShade="BF"/>
        </w:rPr>
        <w:t xml:space="preserve"> </w:t>
      </w:r>
      <w:r w:rsidR="002D53E0" w:rsidRPr="002D53E0">
        <w:rPr>
          <w:color w:val="C45911" w:themeColor="accent2" w:themeShade="BF"/>
        </w:rPr>
        <w:sym w:font="Wingdings" w:char="F0E0"/>
      </w:r>
      <w:r w:rsidR="002D53E0">
        <w:rPr>
          <w:color w:val="C45911" w:themeColor="accent2" w:themeShade="BF"/>
        </w:rPr>
        <w:t xml:space="preserve"> </w:t>
      </w:r>
      <w:r w:rsidR="0041653F">
        <w:rPr>
          <w:color w:val="C45911" w:themeColor="accent2" w:themeShade="BF"/>
        </w:rPr>
        <w:t>inspirations du j</w:t>
      </w:r>
      <w:r w:rsidR="002D53E0">
        <w:rPr>
          <w:color w:val="C45911" w:themeColor="accent2" w:themeShade="BF"/>
        </w:rPr>
        <w:t xml:space="preserve">ardin </w:t>
      </w:r>
      <w:r w:rsidR="0041653F">
        <w:rPr>
          <w:color w:val="C45911" w:themeColor="accent2" w:themeShade="BF"/>
        </w:rPr>
        <w:t>de</w:t>
      </w:r>
      <w:r w:rsidR="002D53E0">
        <w:rPr>
          <w:color w:val="C45911" w:themeColor="accent2" w:themeShade="BF"/>
        </w:rPr>
        <w:t xml:space="preserve"> </w:t>
      </w:r>
      <w:r w:rsidR="0041653F">
        <w:rPr>
          <w:color w:val="C45911" w:themeColor="accent2" w:themeShade="BF"/>
        </w:rPr>
        <w:t xml:space="preserve">MONET à </w:t>
      </w:r>
      <w:r w:rsidR="002D53E0">
        <w:rPr>
          <w:color w:val="C45911" w:themeColor="accent2" w:themeShade="BF"/>
        </w:rPr>
        <w:t>Giverny</w:t>
      </w:r>
      <w:r w:rsidR="0041653F">
        <w:rPr>
          <w:color w:val="C45911" w:themeColor="accent2" w:themeShade="BF"/>
        </w:rPr>
        <w:t xml:space="preserve"> et jardin virtuel imaginé dans l’univers numérique </w:t>
      </w:r>
    </w:p>
    <w:p w14:paraId="168EF9F9" w14:textId="77777777" w:rsidR="000C5D30" w:rsidRDefault="000C5D30" w:rsidP="000C5D30">
      <w:pPr>
        <w:pStyle w:val="Sansinterligne"/>
        <w:ind w:left="720"/>
        <w:rPr>
          <w:color w:val="C45911" w:themeColor="accent2" w:themeShade="BF"/>
        </w:rPr>
      </w:pPr>
    </w:p>
    <w:p w14:paraId="470C9823" w14:textId="09904D65" w:rsidR="0041653F" w:rsidRPr="000C5D30" w:rsidRDefault="0041653F" w:rsidP="003B31CF">
      <w:pPr>
        <w:pStyle w:val="Sansinterligne"/>
        <w:numPr>
          <w:ilvl w:val="0"/>
          <w:numId w:val="5"/>
        </w:numPr>
        <w:rPr>
          <w:color w:val="7030A0"/>
        </w:rPr>
      </w:pPr>
      <w:r>
        <w:rPr>
          <w:b/>
          <w:bCs/>
          <w:color w:val="C45911" w:themeColor="accent2" w:themeShade="BF"/>
        </w:rPr>
        <w:t>Couleurs</w:t>
      </w:r>
      <w:r w:rsidR="003543BD">
        <w:rPr>
          <w:b/>
          <w:bCs/>
          <w:color w:val="C45911" w:themeColor="accent2" w:themeShade="BF"/>
        </w:rPr>
        <w:t xml:space="preserve"> : </w:t>
      </w:r>
      <w:r w:rsidR="003543BD">
        <w:rPr>
          <w:color w:val="C45911" w:themeColor="accent2" w:themeShade="BF"/>
        </w:rPr>
        <w:t xml:space="preserve">couleurs vives et éclatantes pour CHEVALIER et pures et saturées pour Monet </w:t>
      </w:r>
      <w:r w:rsidR="003543BD" w:rsidRPr="000C5D30">
        <w:rPr>
          <w:color w:val="7030A0"/>
        </w:rPr>
        <w:t xml:space="preserve">même si plus </w:t>
      </w:r>
      <w:r w:rsidR="000C5D30" w:rsidRPr="000C5D30">
        <w:rPr>
          <w:color w:val="7030A0"/>
        </w:rPr>
        <w:t xml:space="preserve">pastels et en accord avec la réalité </w:t>
      </w:r>
    </w:p>
    <w:p w14:paraId="5D0E3AD6" w14:textId="77777777" w:rsidR="00B54BD3" w:rsidRPr="003B31CF" w:rsidRDefault="00B54BD3" w:rsidP="003B31CF">
      <w:pPr>
        <w:pStyle w:val="Sansinterligne"/>
        <w:rPr>
          <w:color w:val="C45911" w:themeColor="accent2" w:themeShade="BF"/>
        </w:rPr>
      </w:pPr>
    </w:p>
    <w:p w14:paraId="71FDAF8C" w14:textId="2A53CB05" w:rsidR="003B31CF" w:rsidRPr="003B31CF" w:rsidRDefault="00400854" w:rsidP="003B31CF">
      <w:pPr>
        <w:pStyle w:val="Sansinterligne"/>
        <w:numPr>
          <w:ilvl w:val="0"/>
          <w:numId w:val="5"/>
        </w:numPr>
        <w:rPr>
          <w:color w:val="C45911" w:themeColor="accent2" w:themeShade="BF"/>
        </w:rPr>
      </w:pPr>
      <w:r w:rsidRPr="003B31CF">
        <w:rPr>
          <w:b/>
          <w:bCs/>
          <w:color w:val="C45911" w:themeColor="accent2" w:themeShade="BF"/>
        </w:rPr>
        <w:t>Nature en croissance, au gré des heures du jour et des saisons</w:t>
      </w:r>
      <w:r w:rsidRPr="003B31CF">
        <w:rPr>
          <w:color w:val="C45911" w:themeColor="accent2" w:themeShade="BF"/>
        </w:rPr>
        <w:t xml:space="preserve"> (série pour Monet et suite narrative pour Chevalier)</w:t>
      </w:r>
      <w:r w:rsidR="00083E98" w:rsidRPr="003B31CF">
        <w:rPr>
          <w:color w:val="C45911" w:themeColor="accent2" w:themeShade="BF"/>
        </w:rPr>
        <w:t xml:space="preserve"> : </w:t>
      </w:r>
      <w:r w:rsidRPr="003B31CF">
        <w:rPr>
          <w:b/>
          <w:bCs/>
          <w:color w:val="C45911" w:themeColor="accent2" w:themeShade="BF"/>
        </w:rPr>
        <w:t xml:space="preserve">cycle de la </w:t>
      </w:r>
      <w:r w:rsidR="00083E98" w:rsidRPr="003B31CF">
        <w:rPr>
          <w:b/>
          <w:bCs/>
          <w:color w:val="C45911" w:themeColor="accent2" w:themeShade="BF"/>
        </w:rPr>
        <w:t>vie</w:t>
      </w:r>
      <w:r w:rsidR="00083E98" w:rsidRPr="003B31CF">
        <w:rPr>
          <w:color w:val="C45911" w:themeColor="accent2" w:themeShade="BF"/>
        </w:rPr>
        <w:t xml:space="preserve"> </w:t>
      </w:r>
      <w:r w:rsidR="003B31CF" w:rsidRPr="003B31CF">
        <w:rPr>
          <w:color w:val="C45911" w:themeColor="accent2" w:themeShade="BF"/>
        </w:rPr>
        <w:sym w:font="Wingdings" w:char="F0E0"/>
      </w:r>
      <w:r w:rsidR="003B31CF" w:rsidRPr="003B31CF">
        <w:rPr>
          <w:color w:val="C45911" w:themeColor="accent2" w:themeShade="BF"/>
        </w:rPr>
        <w:t xml:space="preserve"> </w:t>
      </w:r>
      <w:r w:rsidR="007C42D1" w:rsidRPr="003B31CF">
        <w:rPr>
          <w:color w:val="C45911" w:themeColor="accent2" w:themeShade="BF"/>
        </w:rPr>
        <w:t xml:space="preserve">les deux salles de l’Orangerie dédiées au Cycle des Nymphéas ont été conçues pour former le signe de l’infini </w:t>
      </w:r>
    </w:p>
    <w:p w14:paraId="70C1EF60" w14:textId="594A4EC0" w:rsidR="00083E98" w:rsidRPr="003B31CF" w:rsidRDefault="003B31CF" w:rsidP="003B31CF">
      <w:pPr>
        <w:pStyle w:val="Sansinterligne"/>
        <w:ind w:left="4398"/>
        <w:rPr>
          <w:color w:val="C45911" w:themeColor="accent2" w:themeShade="BF"/>
        </w:rPr>
      </w:pPr>
      <w:r w:rsidRPr="003B31CF">
        <w:rPr>
          <w:color w:val="C45911" w:themeColor="accent2" w:themeShade="BF"/>
        </w:rPr>
        <w:sym w:font="Wingdings" w:char="F0E0"/>
      </w:r>
      <w:r w:rsidRPr="003B31CF">
        <w:rPr>
          <w:color w:val="C45911" w:themeColor="accent2" w:themeShade="BF"/>
        </w:rPr>
        <w:t xml:space="preserve"> </w:t>
      </w:r>
      <w:r w:rsidR="007C42D1" w:rsidRPr="003B31CF">
        <w:rPr>
          <w:color w:val="C45911" w:themeColor="accent2" w:themeShade="BF"/>
        </w:rPr>
        <w:t>pour CHEVALIER, les fleurs évoluent, grandissent</w:t>
      </w:r>
      <w:r>
        <w:rPr>
          <w:color w:val="C45911" w:themeColor="accent2" w:themeShade="BF"/>
        </w:rPr>
        <w:t xml:space="preserve"> </w:t>
      </w:r>
      <w:r w:rsidR="007C42D1" w:rsidRPr="003B31CF">
        <w:rPr>
          <w:color w:val="C45911" w:themeColor="accent2" w:themeShade="BF"/>
        </w:rPr>
        <w:t xml:space="preserve">et se fanent peu à peu sur l’écran interactif) </w:t>
      </w:r>
    </w:p>
    <w:p w14:paraId="46828A6C" w14:textId="77777777" w:rsidR="003B31CF" w:rsidRDefault="00693CC2" w:rsidP="003B31CF">
      <w:pPr>
        <w:pStyle w:val="Sansinterligne"/>
        <w:numPr>
          <w:ilvl w:val="0"/>
          <w:numId w:val="6"/>
        </w:numPr>
        <w:rPr>
          <w:color w:val="C45911" w:themeColor="accent2" w:themeShade="BF"/>
        </w:rPr>
      </w:pPr>
      <w:r w:rsidRPr="003B31CF">
        <w:rPr>
          <w:color w:val="C45911" w:themeColor="accent2" w:themeShade="BF"/>
        </w:rPr>
        <w:t xml:space="preserve">Les deux artistes explorent les </w:t>
      </w:r>
      <w:r w:rsidRPr="003B31CF">
        <w:rPr>
          <w:b/>
          <w:bCs/>
          <w:color w:val="C45911" w:themeColor="accent2" w:themeShade="BF"/>
        </w:rPr>
        <w:t>variations de lumière au cours du temps</w:t>
      </w:r>
    </w:p>
    <w:p w14:paraId="635D7D91" w14:textId="305DB24F" w:rsidR="003B31CF" w:rsidRDefault="00693CC2" w:rsidP="003B31CF">
      <w:pPr>
        <w:pStyle w:val="Sansinterligne"/>
        <w:ind w:left="1068" w:firstLine="348"/>
        <w:rPr>
          <w:color w:val="C45911" w:themeColor="accent2" w:themeShade="BF"/>
        </w:rPr>
      </w:pPr>
      <w:r w:rsidRPr="003B31CF">
        <w:rPr>
          <w:color w:val="C45911" w:themeColor="accent2" w:themeShade="BF"/>
        </w:rPr>
        <w:t xml:space="preserve"> </w:t>
      </w:r>
      <w:r w:rsidR="003B31CF" w:rsidRPr="003B31CF">
        <w:rPr>
          <w:color w:val="C45911" w:themeColor="accent2" w:themeShade="BF"/>
        </w:rPr>
        <w:sym w:font="Wingdings" w:char="F0E0"/>
      </w:r>
      <w:r w:rsidR="003B31CF">
        <w:rPr>
          <w:color w:val="C45911" w:themeColor="accent2" w:themeShade="BF"/>
        </w:rPr>
        <w:t xml:space="preserve"> </w:t>
      </w:r>
      <w:r w:rsidRPr="003B31CF">
        <w:rPr>
          <w:color w:val="C45911" w:themeColor="accent2" w:themeShade="BF"/>
        </w:rPr>
        <w:t>notamment grâce au choix de la couleur du fond pour CHEVALIER</w:t>
      </w:r>
      <w:r w:rsidR="00ED12D5" w:rsidRPr="003B31CF">
        <w:rPr>
          <w:color w:val="C45911" w:themeColor="accent2" w:themeShade="BF"/>
        </w:rPr>
        <w:t xml:space="preserve"> </w:t>
      </w:r>
      <w:r w:rsidR="00334D51">
        <w:rPr>
          <w:color w:val="C45911" w:themeColor="accent2" w:themeShade="BF"/>
        </w:rPr>
        <w:t>(noir, bleu foncé avec des nuances…)</w:t>
      </w:r>
    </w:p>
    <w:p w14:paraId="3254A4F5" w14:textId="72375F8F" w:rsidR="00083E98" w:rsidRDefault="003B31CF" w:rsidP="003B31CF">
      <w:pPr>
        <w:pStyle w:val="Sansinterligne"/>
        <w:ind w:left="1068" w:firstLine="348"/>
        <w:rPr>
          <w:color w:val="C45911" w:themeColor="accent2" w:themeShade="BF"/>
        </w:rPr>
      </w:pPr>
      <w:r>
        <w:rPr>
          <w:color w:val="C45911" w:themeColor="accent2" w:themeShade="BF"/>
        </w:rPr>
        <w:t xml:space="preserve"> </w:t>
      </w:r>
      <w:r w:rsidRPr="003B31CF">
        <w:rPr>
          <w:color w:val="C45911" w:themeColor="accent2" w:themeShade="BF"/>
        </w:rPr>
        <w:sym w:font="Wingdings" w:char="F0E0"/>
      </w:r>
      <w:r>
        <w:rPr>
          <w:color w:val="C45911" w:themeColor="accent2" w:themeShade="BF"/>
        </w:rPr>
        <w:t xml:space="preserve"> </w:t>
      </w:r>
      <w:r w:rsidR="00ED12D5" w:rsidRPr="003B31CF">
        <w:rPr>
          <w:color w:val="C45911" w:themeColor="accent2" w:themeShade="BF"/>
        </w:rPr>
        <w:t>la disposition du lieu très particulière pour MONET : le bâtiment du musée de l’Orangerie est orienté est-ouest =&gt; continuum de temps : le soleil se lève dans la salle 2 pour se coucher dans la salle 1</w:t>
      </w:r>
    </w:p>
    <w:p w14:paraId="5263D508" w14:textId="5AF076A9" w:rsidR="00334D51" w:rsidRPr="00334D51" w:rsidRDefault="003B31CF" w:rsidP="00334D51">
      <w:pPr>
        <w:pStyle w:val="Sansinterligne"/>
        <w:ind w:left="1416" w:firstLine="708"/>
        <w:rPr>
          <w:color w:val="7030A0"/>
        </w:rPr>
      </w:pPr>
      <w:r w:rsidRPr="00334D51">
        <w:rPr>
          <w:b/>
          <w:bCs/>
          <w:color w:val="C45911" w:themeColor="accent2" w:themeShade="BF"/>
        </w:rPr>
        <w:sym w:font="Wingdings" w:char="F0E0"/>
      </w:r>
      <w:r w:rsidRPr="00334D51">
        <w:rPr>
          <w:color w:val="C45911" w:themeColor="accent2" w:themeShade="BF"/>
        </w:rPr>
        <w:t xml:space="preserve"> </w:t>
      </w:r>
      <w:r w:rsidR="002044AB" w:rsidRPr="00334D51">
        <w:rPr>
          <w:b/>
          <w:bCs/>
          <w:color w:val="C45911" w:themeColor="accent2" w:themeShade="BF"/>
        </w:rPr>
        <w:t>Rapports au lieu d’exposition</w:t>
      </w:r>
      <w:r w:rsidR="002044AB" w:rsidRPr="00334D51">
        <w:rPr>
          <w:color w:val="C45911" w:themeColor="accent2" w:themeShade="BF"/>
        </w:rPr>
        <w:t xml:space="preserve"> </w:t>
      </w:r>
      <w:r w:rsidR="002044AB" w:rsidRPr="00334D51">
        <w:rPr>
          <w:b/>
          <w:bCs/>
          <w:color w:val="C45911" w:themeColor="accent2" w:themeShade="BF"/>
        </w:rPr>
        <w:t>:</w:t>
      </w:r>
      <w:r w:rsidR="002044AB" w:rsidRPr="00334D51">
        <w:rPr>
          <w:color w:val="C45911" w:themeColor="accent2" w:themeShade="BF"/>
        </w:rPr>
        <w:t xml:space="preserve"> </w:t>
      </w:r>
      <w:r w:rsidRPr="00334D51">
        <w:rPr>
          <w:color w:val="C45911" w:themeColor="accent2" w:themeShade="BF"/>
        </w:rPr>
        <w:t xml:space="preserve">les deux </w:t>
      </w:r>
      <w:r w:rsidR="002044AB" w:rsidRPr="00334D51">
        <w:rPr>
          <w:color w:val="C45911" w:themeColor="accent2" w:themeShade="BF"/>
        </w:rPr>
        <w:t>œuvre</w:t>
      </w:r>
      <w:r w:rsidRPr="00334D51">
        <w:rPr>
          <w:color w:val="C45911" w:themeColor="accent2" w:themeShade="BF"/>
        </w:rPr>
        <w:t>s</w:t>
      </w:r>
      <w:r w:rsidR="002044AB" w:rsidRPr="00334D51">
        <w:rPr>
          <w:color w:val="C45911" w:themeColor="accent2" w:themeShade="BF"/>
        </w:rPr>
        <w:t xml:space="preserve"> fusionne</w:t>
      </w:r>
      <w:r w:rsidRPr="00334D51">
        <w:rPr>
          <w:color w:val="C45911" w:themeColor="accent2" w:themeShade="BF"/>
        </w:rPr>
        <w:t>nt</w:t>
      </w:r>
      <w:r w:rsidR="002044AB" w:rsidRPr="00334D51">
        <w:rPr>
          <w:color w:val="C45911" w:themeColor="accent2" w:themeShade="BF"/>
        </w:rPr>
        <w:t xml:space="preserve"> avec </w:t>
      </w:r>
      <w:r w:rsidRPr="00334D51">
        <w:rPr>
          <w:color w:val="C45911" w:themeColor="accent2" w:themeShade="BF"/>
        </w:rPr>
        <w:t>leur</w:t>
      </w:r>
      <w:r w:rsidR="002044AB" w:rsidRPr="00334D51">
        <w:rPr>
          <w:color w:val="C45911" w:themeColor="accent2" w:themeShade="BF"/>
        </w:rPr>
        <w:t xml:space="preserve"> lieu de présentation</w:t>
      </w:r>
      <w:r w:rsidRPr="00334D51">
        <w:rPr>
          <w:color w:val="C45911" w:themeColor="accent2" w:themeShade="BF"/>
        </w:rPr>
        <w:t xml:space="preserve"> </w:t>
      </w:r>
      <w:r w:rsidRPr="00334D51">
        <w:rPr>
          <w:color w:val="7030A0"/>
        </w:rPr>
        <w:t xml:space="preserve">malgré le caractère éphémère de l’une et le caractère </w:t>
      </w:r>
      <w:r w:rsidR="00E90B57" w:rsidRPr="00334D51">
        <w:rPr>
          <w:color w:val="7030A0"/>
        </w:rPr>
        <w:t>réellement « in situ » de l’autre</w:t>
      </w:r>
    </w:p>
    <w:p w14:paraId="7298A79E" w14:textId="74A7C17A" w:rsidR="00DD7D41" w:rsidRPr="006064CC" w:rsidRDefault="00334D51" w:rsidP="006064CC">
      <w:pPr>
        <w:pStyle w:val="Sansinterligne"/>
        <w:numPr>
          <w:ilvl w:val="0"/>
          <w:numId w:val="5"/>
        </w:numPr>
        <w:rPr>
          <w:color w:val="7030A0"/>
        </w:rPr>
      </w:pPr>
      <w:r w:rsidRPr="006064CC">
        <w:rPr>
          <w:b/>
          <w:bCs/>
          <w:color w:val="7030A0"/>
        </w:rPr>
        <w:t xml:space="preserve">Lumière du lieu d’exposition : </w:t>
      </w:r>
      <w:r w:rsidRPr="006064CC">
        <w:rPr>
          <w:color w:val="7030A0"/>
        </w:rPr>
        <w:t xml:space="preserve">fond/atmosphère claire pour MONET (blanc) et fond/atmosphère sombre pour CHEVALIER (noir) </w:t>
      </w:r>
      <w:r w:rsidRPr="006064CC">
        <w:rPr>
          <w:color w:val="7030A0"/>
        </w:rPr>
        <w:sym w:font="Wingdings" w:char="F0E0"/>
      </w:r>
      <w:r w:rsidR="00DD7D41" w:rsidRPr="006064CC">
        <w:rPr>
          <w:color w:val="7030A0"/>
        </w:rPr>
        <w:t xml:space="preserve"> deux types de mise en valeur grâce à la lumière : pour MONET, la lumière zénithale contribue à mieux observer l’œuvre</w:t>
      </w:r>
      <w:r w:rsidR="00DD7D41" w:rsidRPr="006064CC">
        <w:rPr>
          <w:b/>
          <w:bCs/>
          <w:color w:val="7030A0"/>
        </w:rPr>
        <w:t xml:space="preserve"> ; </w:t>
      </w:r>
      <w:r w:rsidR="00DD7D41" w:rsidRPr="006064CC">
        <w:rPr>
          <w:color w:val="7030A0"/>
        </w:rPr>
        <w:t>pour CHEVALIER, il y a une totale absence de lumière dans la salle en elle-même, la seule source de lumière provient de l’œuvre elle-même</w:t>
      </w:r>
      <w:r w:rsidR="003F600C">
        <w:rPr>
          <w:color w:val="7030A0"/>
        </w:rPr>
        <w:t xml:space="preserve"> et de la luminescence des plantes et fleurs de CHEVALIER</w:t>
      </w:r>
    </w:p>
    <w:p w14:paraId="56AF4633" w14:textId="2048F75A" w:rsidR="00400854" w:rsidRDefault="00400854" w:rsidP="006064CC">
      <w:pPr>
        <w:pStyle w:val="Sansinterligne"/>
        <w:rPr>
          <w:color w:val="C45911" w:themeColor="accent2" w:themeShade="BF"/>
        </w:rPr>
      </w:pPr>
    </w:p>
    <w:p w14:paraId="3C7ABB76" w14:textId="503725AB" w:rsidR="00AD26A6" w:rsidRPr="00F6210F" w:rsidRDefault="00AD26A6" w:rsidP="006064CC">
      <w:pPr>
        <w:pStyle w:val="Sansinterligne"/>
        <w:numPr>
          <w:ilvl w:val="0"/>
          <w:numId w:val="5"/>
        </w:numPr>
        <w:rPr>
          <w:color w:val="C45911" w:themeColor="accent2" w:themeShade="BF"/>
        </w:rPr>
      </w:pPr>
      <w:r w:rsidRPr="00F6210F">
        <w:rPr>
          <w:b/>
          <w:bCs/>
          <w:color w:val="C45911" w:themeColor="accent2" w:themeShade="BF"/>
        </w:rPr>
        <w:t xml:space="preserve">Œuvres </w:t>
      </w:r>
      <w:r w:rsidR="001F55C5" w:rsidRPr="00F6210F">
        <w:rPr>
          <w:b/>
          <w:bCs/>
          <w:color w:val="C45911" w:themeColor="accent2" w:themeShade="BF"/>
        </w:rPr>
        <w:t>immersives</w:t>
      </w:r>
      <w:r w:rsidRPr="00F6210F">
        <w:rPr>
          <w:b/>
          <w:bCs/>
          <w:color w:val="C45911" w:themeColor="accent2" w:themeShade="BF"/>
        </w:rPr>
        <w:t> :</w:t>
      </w:r>
      <w:r w:rsidRPr="00F6210F">
        <w:rPr>
          <w:color w:val="C45911" w:themeColor="accent2" w:themeShade="BF"/>
        </w:rPr>
        <w:t xml:space="preserve"> - </w:t>
      </w:r>
      <w:r w:rsidR="001F55C5" w:rsidRPr="008A46AC">
        <w:rPr>
          <w:b/>
          <w:bCs/>
          <w:color w:val="C45911" w:themeColor="accent2" w:themeShade="BF"/>
        </w:rPr>
        <w:t>rapports aux spectateurs intégrés au processus dès la création</w:t>
      </w:r>
      <w:r w:rsidRPr="008A46AC">
        <w:rPr>
          <w:b/>
          <w:bCs/>
          <w:color w:val="C45911" w:themeColor="accent2" w:themeShade="BF"/>
        </w:rPr>
        <w:t> :</w:t>
      </w:r>
      <w:r w:rsidRPr="00F6210F">
        <w:rPr>
          <w:color w:val="C45911" w:themeColor="accent2" w:themeShade="BF"/>
        </w:rPr>
        <w:t xml:space="preserve"> plantes sur écran géant qui interagit avec le spectateur (grâce à des capteurs) </w:t>
      </w:r>
      <w:r w:rsidRPr="00F6210F">
        <w:rPr>
          <w:color w:val="C45911" w:themeColor="accent2" w:themeShade="BF"/>
        </w:rPr>
        <w:sym w:font="Wingdings" w:char="F0E0"/>
      </w:r>
      <w:r w:rsidRPr="00F6210F">
        <w:rPr>
          <w:color w:val="C45911" w:themeColor="accent2" w:themeShade="BF"/>
        </w:rPr>
        <w:t xml:space="preserve"> CHEVALIER</w:t>
      </w:r>
    </w:p>
    <w:p w14:paraId="0470CB03" w14:textId="1A0C655D" w:rsidR="00400854" w:rsidRPr="00F6210F" w:rsidRDefault="008A46AC" w:rsidP="00F6210F">
      <w:pPr>
        <w:pStyle w:val="Sansinterligne"/>
        <w:rPr>
          <w:color w:val="C45911" w:themeColor="accent2" w:themeShade="BF"/>
        </w:rPr>
      </w:pPr>
      <w:r>
        <w:rPr>
          <w:color w:val="C45911" w:themeColor="accent2" w:themeShade="BF"/>
        </w:rPr>
        <w:t xml:space="preserve">               </w:t>
      </w:r>
      <w:r w:rsidR="00400854" w:rsidRPr="00F6210F">
        <w:rPr>
          <w:color w:val="C45911" w:themeColor="accent2" w:themeShade="BF"/>
        </w:rPr>
        <w:t xml:space="preserve">placement panoramique des panneaux afin de totalement entourer le spectateur </w:t>
      </w:r>
      <w:r w:rsidR="00400854" w:rsidRPr="00F6210F">
        <w:rPr>
          <w:color w:val="C45911" w:themeColor="accent2" w:themeShade="BF"/>
        </w:rPr>
        <w:sym w:font="Wingdings" w:char="F0E0"/>
      </w:r>
      <w:r w:rsidR="00400854" w:rsidRPr="00F6210F">
        <w:rPr>
          <w:color w:val="C45911" w:themeColor="accent2" w:themeShade="BF"/>
        </w:rPr>
        <w:t xml:space="preserve"> MONET</w:t>
      </w:r>
    </w:p>
    <w:p w14:paraId="3EDE862E" w14:textId="1A5CFC55" w:rsidR="00F6210F" w:rsidRPr="008A46AC" w:rsidRDefault="00F6210F" w:rsidP="008A46AC">
      <w:pPr>
        <w:pStyle w:val="Sansinterligne"/>
        <w:ind w:left="708" w:firstLine="1962"/>
        <w:rPr>
          <w:b/>
          <w:bCs/>
          <w:color w:val="C45911" w:themeColor="accent2" w:themeShade="BF"/>
        </w:rPr>
      </w:pPr>
      <w:r w:rsidRPr="00F6210F">
        <w:rPr>
          <w:color w:val="C45911" w:themeColor="accent2" w:themeShade="BF"/>
        </w:rPr>
        <w:t xml:space="preserve">- </w:t>
      </w:r>
      <w:r w:rsidR="008A46AC">
        <w:rPr>
          <w:color w:val="C45911" w:themeColor="accent2" w:themeShade="BF"/>
        </w:rPr>
        <w:t xml:space="preserve"> </w:t>
      </w:r>
      <w:r w:rsidR="008A46AC" w:rsidRPr="008A46AC">
        <w:rPr>
          <w:b/>
          <w:bCs/>
          <w:color w:val="C45911" w:themeColor="accent2" w:themeShade="BF"/>
        </w:rPr>
        <w:t>taille monumentale</w:t>
      </w:r>
      <w:r w:rsidR="008A46AC">
        <w:rPr>
          <w:color w:val="C45911" w:themeColor="accent2" w:themeShade="BF"/>
        </w:rPr>
        <w:t xml:space="preserve"> qui permet une immersion du spectateur </w:t>
      </w:r>
      <w:r w:rsidR="008A46AC" w:rsidRPr="008A46AC">
        <w:rPr>
          <w:color w:val="C45911" w:themeColor="accent2" w:themeShade="BF"/>
        </w:rPr>
        <w:t>dans un paysage floral panoramique irréel, face à une nature démesurée</w:t>
      </w:r>
      <w:r w:rsidR="008A46AC">
        <w:rPr>
          <w:color w:val="C45911" w:themeColor="accent2" w:themeShade="BF"/>
        </w:rPr>
        <w:t xml:space="preserve"> : 17 m de long x 4,30 m de haut pour l’écran de CHEVALIER, et </w:t>
      </w:r>
      <w:r w:rsidR="001E3728">
        <w:rPr>
          <w:color w:val="C45911" w:themeColor="accent2" w:themeShade="BF"/>
        </w:rPr>
        <w:t>100 m de long x 1,97 m de haut</w:t>
      </w:r>
      <w:r w:rsidR="008A46AC">
        <w:rPr>
          <w:color w:val="C45911" w:themeColor="accent2" w:themeShade="BF"/>
        </w:rPr>
        <w:t xml:space="preserve"> pour l’ensemble des panneaux de MONET</w:t>
      </w:r>
      <w:r w:rsidR="00B56500">
        <w:rPr>
          <w:color w:val="C45911" w:themeColor="accent2" w:themeShade="BF"/>
        </w:rPr>
        <w:tab/>
      </w:r>
      <w:r w:rsidR="00B56500">
        <w:rPr>
          <w:color w:val="C45911" w:themeColor="accent2" w:themeShade="BF"/>
        </w:rPr>
        <w:tab/>
      </w:r>
      <w:r w:rsidR="00B56500">
        <w:rPr>
          <w:color w:val="C45911" w:themeColor="accent2" w:themeShade="BF"/>
        </w:rPr>
        <w:tab/>
      </w:r>
      <w:r w:rsidR="00B56500" w:rsidRPr="00B56500">
        <w:rPr>
          <w:color w:val="C45911" w:themeColor="accent2" w:themeShade="BF"/>
        </w:rPr>
        <w:sym w:font="Wingdings" w:char="F0E0"/>
      </w:r>
      <w:r w:rsidR="00B56500">
        <w:rPr>
          <w:color w:val="C45911" w:themeColor="accent2" w:themeShade="BF"/>
        </w:rPr>
        <w:t xml:space="preserve"> </w:t>
      </w:r>
      <w:r w:rsidR="00B56500" w:rsidRPr="00DD4909">
        <w:rPr>
          <w:b/>
          <w:bCs/>
          <w:color w:val="C45911" w:themeColor="accent2" w:themeShade="BF"/>
        </w:rPr>
        <w:t>All over :</w:t>
      </w:r>
      <w:r w:rsidR="00B56500">
        <w:rPr>
          <w:color w:val="C45911" w:themeColor="accent2" w:themeShade="BF"/>
        </w:rPr>
        <w:t xml:space="preserve"> pas de cadre, pas de limite, la végétation sort de l’œuvre ce qui accentue la grandeur de la nature représentée </w:t>
      </w:r>
    </w:p>
    <w:p w14:paraId="4088CAA0" w14:textId="77777777" w:rsidR="004F34D1" w:rsidRDefault="00AD26A6" w:rsidP="004F34D1">
      <w:pPr>
        <w:pStyle w:val="Sansinterligne"/>
        <w:ind w:left="2664"/>
        <w:rPr>
          <w:b/>
          <w:bCs/>
          <w:color w:val="C45911" w:themeColor="accent2" w:themeShade="BF"/>
        </w:rPr>
      </w:pPr>
      <w:r w:rsidRPr="00F6210F">
        <w:rPr>
          <w:color w:val="C45911" w:themeColor="accent2" w:themeShade="BF"/>
        </w:rPr>
        <w:t xml:space="preserve">- </w:t>
      </w:r>
      <w:r w:rsidRPr="008A46AC">
        <w:rPr>
          <w:b/>
          <w:bCs/>
          <w:color w:val="C45911" w:themeColor="accent2" w:themeShade="BF"/>
        </w:rPr>
        <w:t>r</w:t>
      </w:r>
      <w:r w:rsidR="001F55C5" w:rsidRPr="008A46AC">
        <w:rPr>
          <w:b/>
          <w:bCs/>
          <w:color w:val="C45911" w:themeColor="accent2" w:themeShade="BF"/>
        </w:rPr>
        <w:t>ôle contemplatif, actif, participatif, immersif, interactif du</w:t>
      </w:r>
      <w:r w:rsidR="004F34D1">
        <w:rPr>
          <w:b/>
          <w:bCs/>
          <w:color w:val="C45911" w:themeColor="accent2" w:themeShade="BF"/>
        </w:rPr>
        <w:t xml:space="preserve"> </w:t>
      </w:r>
    </w:p>
    <w:p w14:paraId="18145DC7" w14:textId="2826383F" w:rsidR="009C30D2" w:rsidRPr="00F6210F" w:rsidRDefault="001F55C5" w:rsidP="004F34D1">
      <w:pPr>
        <w:pStyle w:val="Sansinterligne"/>
        <w:ind w:left="708"/>
        <w:rPr>
          <w:color w:val="C45911" w:themeColor="accent2" w:themeShade="BF"/>
        </w:rPr>
      </w:pPr>
      <w:r w:rsidRPr="008A46AC">
        <w:rPr>
          <w:b/>
          <w:bCs/>
          <w:color w:val="C45911" w:themeColor="accent2" w:themeShade="BF"/>
        </w:rPr>
        <w:t>spectateur</w:t>
      </w:r>
      <w:r w:rsidR="00400854" w:rsidRPr="00F6210F">
        <w:rPr>
          <w:color w:val="C45911" w:themeColor="accent2" w:themeShade="BF"/>
        </w:rPr>
        <w:t xml:space="preserve"> </w:t>
      </w:r>
      <w:r w:rsidR="00400854" w:rsidRPr="00F6210F">
        <w:rPr>
          <w:color w:val="C45911" w:themeColor="accent2" w:themeShade="BF"/>
        </w:rPr>
        <w:sym w:font="Wingdings" w:char="F0E0"/>
      </w:r>
      <w:r w:rsidR="00400854" w:rsidRPr="00F6210F">
        <w:rPr>
          <w:color w:val="C45911" w:themeColor="accent2" w:themeShade="BF"/>
        </w:rPr>
        <w:t xml:space="preserve"> le spectateur </w:t>
      </w:r>
      <w:r w:rsidR="00CB0D13" w:rsidRPr="00F6210F">
        <w:rPr>
          <w:color w:val="C45911" w:themeColor="accent2" w:themeShade="BF"/>
        </w:rPr>
        <w:t xml:space="preserve">est invité à </w:t>
      </w:r>
      <w:r w:rsidR="00400854" w:rsidRPr="00F6210F">
        <w:rPr>
          <w:color w:val="C45911" w:themeColor="accent2" w:themeShade="BF"/>
        </w:rPr>
        <w:t>se déplacer autant qu’il veut dans les salles des deux</w:t>
      </w:r>
      <w:r w:rsidR="004F34D1">
        <w:rPr>
          <w:color w:val="C45911" w:themeColor="accent2" w:themeShade="BF"/>
        </w:rPr>
        <w:t xml:space="preserve"> </w:t>
      </w:r>
      <w:r w:rsidR="00400854" w:rsidRPr="00F6210F">
        <w:rPr>
          <w:color w:val="C45911" w:themeColor="accent2" w:themeShade="BF"/>
        </w:rPr>
        <w:t xml:space="preserve">expositions, de se rapprocher ou de s’éloigner de l’œuvre autant qu’il le souhaite, ainsi, il est acteur de sa perception de l’œuvre : en changeant de place, il peut découvrir l’œuvre de différentes manières </w:t>
      </w:r>
      <w:r w:rsidR="00CB0D13" w:rsidRPr="00F6210F">
        <w:rPr>
          <w:color w:val="C45911" w:themeColor="accent2" w:themeShade="BF"/>
        </w:rPr>
        <w:t xml:space="preserve">et en capter toutes les subtilités </w:t>
      </w:r>
      <w:r w:rsidR="00CB0D13" w:rsidRPr="00F6210F">
        <w:rPr>
          <w:color w:val="C45911" w:themeColor="accent2" w:themeShade="BF"/>
        </w:rPr>
        <w:sym w:font="Wingdings" w:char="F0E0"/>
      </w:r>
      <w:r w:rsidR="00CB0D13" w:rsidRPr="00F6210F">
        <w:rPr>
          <w:color w:val="C45911" w:themeColor="accent2" w:themeShade="BF"/>
        </w:rPr>
        <w:t xml:space="preserve"> selon son orientation</w:t>
      </w:r>
      <w:r w:rsidR="009C30D2" w:rsidRPr="00F6210F">
        <w:rPr>
          <w:color w:val="C45911" w:themeColor="accent2" w:themeShade="BF"/>
        </w:rPr>
        <w:t xml:space="preserve">, des effets </w:t>
      </w:r>
      <w:r w:rsidR="009C30D2" w:rsidRPr="00F6210F">
        <w:rPr>
          <w:color w:val="C45911" w:themeColor="accent2" w:themeShade="BF"/>
        </w:rPr>
        <w:lastRenderedPageBreak/>
        <w:t xml:space="preserve">surprenants de reliefs et de profondeurs, et un léger mouvement semblent donner vie aux deux natures représentées  </w:t>
      </w:r>
    </w:p>
    <w:p w14:paraId="58B18E79" w14:textId="54032AA1" w:rsidR="00F6210F" w:rsidRDefault="00F6210F" w:rsidP="00F6210F">
      <w:pPr>
        <w:pStyle w:val="Sansinterligne"/>
        <w:rPr>
          <w:color w:val="C45911" w:themeColor="accent2" w:themeShade="BF"/>
        </w:rPr>
      </w:pPr>
    </w:p>
    <w:p w14:paraId="0E0B8131" w14:textId="4CD39B65" w:rsidR="00F32E10" w:rsidRPr="0091084F" w:rsidRDefault="00F32E10" w:rsidP="00F32E10">
      <w:pPr>
        <w:pStyle w:val="Sansinterligne"/>
        <w:numPr>
          <w:ilvl w:val="0"/>
          <w:numId w:val="5"/>
        </w:numPr>
        <w:rPr>
          <w:b/>
          <w:bCs/>
          <w:color w:val="7030A0"/>
        </w:rPr>
      </w:pPr>
      <w:r w:rsidRPr="0091084F">
        <w:rPr>
          <w:b/>
          <w:bCs/>
          <w:color w:val="7030A0"/>
        </w:rPr>
        <w:t xml:space="preserve">Matérialité : </w:t>
      </w:r>
      <w:r w:rsidRPr="0091084F">
        <w:rPr>
          <w:color w:val="7030A0"/>
        </w:rPr>
        <w:t xml:space="preserve">œuvre matérielle  </w:t>
      </w:r>
      <w:r w:rsidR="000049E4" w:rsidRPr="0091084F">
        <w:rPr>
          <w:color w:val="7030A0"/>
        </w:rPr>
        <w:t xml:space="preserve">          </w:t>
      </w:r>
      <w:r w:rsidR="00C123EB" w:rsidRPr="0091084F">
        <w:rPr>
          <w:color w:val="7030A0"/>
        </w:rPr>
        <w:t xml:space="preserve">  </w:t>
      </w:r>
      <w:r w:rsidR="000049E4" w:rsidRPr="0091084F">
        <w:rPr>
          <w:color w:val="7030A0"/>
        </w:rPr>
        <w:t xml:space="preserve">  </w:t>
      </w:r>
      <w:r w:rsidRPr="0091084F">
        <w:rPr>
          <w:color w:val="7030A0"/>
        </w:rPr>
        <w:t xml:space="preserve"> et   </w:t>
      </w:r>
      <w:r w:rsidR="000049E4" w:rsidRPr="0091084F">
        <w:rPr>
          <w:color w:val="7030A0"/>
        </w:rPr>
        <w:t xml:space="preserve">             </w:t>
      </w:r>
      <w:r w:rsidRPr="0091084F">
        <w:rPr>
          <w:color w:val="7030A0"/>
        </w:rPr>
        <w:t xml:space="preserve">œuvre </w:t>
      </w:r>
      <w:r w:rsidR="004C2FC6" w:rsidRPr="0091084F">
        <w:rPr>
          <w:color w:val="7030A0"/>
        </w:rPr>
        <w:t xml:space="preserve">immatérielle, </w:t>
      </w:r>
      <w:r w:rsidRPr="0091084F">
        <w:rPr>
          <w:color w:val="7030A0"/>
        </w:rPr>
        <w:t xml:space="preserve">virtuelle </w:t>
      </w:r>
    </w:p>
    <w:p w14:paraId="0DE6C735" w14:textId="4C4D31D2" w:rsidR="00F32E10" w:rsidRPr="0091084F" w:rsidRDefault="00F32E10" w:rsidP="00F32E10">
      <w:pPr>
        <w:pStyle w:val="Sansinterligne"/>
        <w:ind w:left="1440"/>
        <w:rPr>
          <w:color w:val="7030A0"/>
        </w:rPr>
      </w:pPr>
      <w:r w:rsidRPr="0091084F">
        <w:rPr>
          <w:b/>
          <w:bCs/>
          <w:color w:val="7030A0"/>
        </w:rPr>
        <w:t xml:space="preserve">       i</w:t>
      </w:r>
      <w:r w:rsidRPr="0091084F">
        <w:rPr>
          <w:color w:val="7030A0"/>
        </w:rPr>
        <w:t>mage fixe</w:t>
      </w:r>
      <w:r w:rsidR="00370203" w:rsidRPr="0091084F">
        <w:rPr>
          <w:color w:val="7030A0"/>
        </w:rPr>
        <w:t>, statique</w:t>
      </w:r>
      <w:r w:rsidRPr="0091084F">
        <w:rPr>
          <w:color w:val="7030A0"/>
        </w:rPr>
        <w:t xml:space="preserve">         </w:t>
      </w:r>
      <w:r w:rsidR="000049E4" w:rsidRPr="0091084F">
        <w:rPr>
          <w:color w:val="7030A0"/>
        </w:rPr>
        <w:t xml:space="preserve">  </w:t>
      </w:r>
      <w:r w:rsidR="00C123EB" w:rsidRPr="0091084F">
        <w:rPr>
          <w:color w:val="7030A0"/>
        </w:rPr>
        <w:t xml:space="preserve">  </w:t>
      </w:r>
      <w:r w:rsidR="00370203" w:rsidRPr="0091084F">
        <w:rPr>
          <w:color w:val="7030A0"/>
        </w:rPr>
        <w:t xml:space="preserve"> </w:t>
      </w:r>
      <w:r w:rsidR="000049E4" w:rsidRPr="0091084F">
        <w:rPr>
          <w:color w:val="7030A0"/>
        </w:rPr>
        <w:t xml:space="preserve"> </w:t>
      </w:r>
      <w:r w:rsidRPr="0091084F">
        <w:rPr>
          <w:color w:val="7030A0"/>
        </w:rPr>
        <w:t xml:space="preserve"> et  </w:t>
      </w:r>
      <w:r w:rsidR="000049E4" w:rsidRPr="0091084F">
        <w:rPr>
          <w:color w:val="7030A0"/>
        </w:rPr>
        <w:t xml:space="preserve">      </w:t>
      </w:r>
      <w:r w:rsidRPr="0091084F">
        <w:rPr>
          <w:color w:val="7030A0"/>
        </w:rPr>
        <w:t xml:space="preserve"> image mobile</w:t>
      </w:r>
      <w:r w:rsidR="004C2FC6" w:rsidRPr="0091084F">
        <w:rPr>
          <w:color w:val="7030A0"/>
        </w:rPr>
        <w:t xml:space="preserve">, générative, interactive </w:t>
      </w:r>
    </w:p>
    <w:p w14:paraId="43397BA1" w14:textId="2312180B" w:rsidR="004C2FC6" w:rsidRPr="0091084F" w:rsidRDefault="004C2FC6" w:rsidP="004C2FC6">
      <w:pPr>
        <w:pStyle w:val="Sansinterligne"/>
        <w:rPr>
          <w:color w:val="7030A0"/>
        </w:rPr>
      </w:pPr>
      <w:r w:rsidRPr="0091084F">
        <w:rPr>
          <w:color w:val="7030A0"/>
        </w:rPr>
        <w:t xml:space="preserve">               </w:t>
      </w:r>
      <w:r w:rsidR="004A19E9" w:rsidRPr="004A19E9">
        <w:rPr>
          <w:b/>
          <w:bCs/>
          <w:color w:val="7030A0"/>
        </w:rPr>
        <w:t>Technique</w:t>
      </w:r>
      <w:r w:rsidRPr="0091084F">
        <w:rPr>
          <w:color w:val="7030A0"/>
        </w:rPr>
        <w:t xml:space="preserve">   huile sur panneaux  </w:t>
      </w:r>
      <w:r w:rsidR="000049E4" w:rsidRPr="0091084F">
        <w:rPr>
          <w:color w:val="7030A0"/>
        </w:rPr>
        <w:t xml:space="preserve">           </w:t>
      </w:r>
      <w:r w:rsidR="00C123EB" w:rsidRPr="0091084F">
        <w:rPr>
          <w:color w:val="7030A0"/>
        </w:rPr>
        <w:t xml:space="preserve">  </w:t>
      </w:r>
      <w:r w:rsidR="000049E4" w:rsidRPr="0091084F">
        <w:rPr>
          <w:color w:val="7030A0"/>
        </w:rPr>
        <w:t xml:space="preserve"> </w:t>
      </w:r>
      <w:r w:rsidRPr="0091084F">
        <w:rPr>
          <w:color w:val="7030A0"/>
        </w:rPr>
        <w:t xml:space="preserve">et   </w:t>
      </w:r>
      <w:r w:rsidR="000049E4" w:rsidRPr="0091084F">
        <w:rPr>
          <w:color w:val="7030A0"/>
        </w:rPr>
        <w:t xml:space="preserve">                         écran numérique </w:t>
      </w:r>
    </w:p>
    <w:p w14:paraId="7F73E0FA" w14:textId="75136583" w:rsidR="00763FD4" w:rsidRDefault="000049E4" w:rsidP="00763FD4">
      <w:pPr>
        <w:pStyle w:val="Sansinterligne"/>
        <w:rPr>
          <w:color w:val="7030A0"/>
        </w:rPr>
      </w:pPr>
      <w:r w:rsidRPr="0091084F">
        <w:rPr>
          <w:color w:val="7030A0"/>
        </w:rPr>
        <w:tab/>
      </w:r>
      <w:r w:rsidR="00EA2D74" w:rsidRPr="0091084F">
        <w:rPr>
          <w:color w:val="7030A0"/>
        </w:rPr>
        <w:t xml:space="preserve">   </w:t>
      </w:r>
      <w:r w:rsidR="00EA2D74" w:rsidRPr="0091084F">
        <w:rPr>
          <w:b/>
          <w:bCs/>
          <w:color w:val="7030A0"/>
        </w:rPr>
        <w:t>Texture</w:t>
      </w:r>
      <w:r w:rsidRPr="0091084F">
        <w:rPr>
          <w:color w:val="7030A0"/>
        </w:rPr>
        <w:t xml:space="preserve">   empâtements picturaux    </w:t>
      </w:r>
      <w:r w:rsidR="00643312">
        <w:rPr>
          <w:color w:val="7030A0"/>
        </w:rPr>
        <w:t xml:space="preserve">  </w:t>
      </w:r>
      <w:r w:rsidR="00C123EB" w:rsidRPr="0091084F">
        <w:rPr>
          <w:color w:val="7030A0"/>
        </w:rPr>
        <w:t xml:space="preserve">  </w:t>
      </w:r>
      <w:r w:rsidRPr="0091084F">
        <w:rPr>
          <w:color w:val="7030A0"/>
        </w:rPr>
        <w:t xml:space="preserve">  et              matité, brillance et </w:t>
      </w:r>
      <w:r w:rsidR="00650E2E" w:rsidRPr="0091084F">
        <w:rPr>
          <w:color w:val="7030A0"/>
        </w:rPr>
        <w:t xml:space="preserve">surface lisse </w:t>
      </w:r>
    </w:p>
    <w:p w14:paraId="06037391" w14:textId="1792AEBA" w:rsidR="00763FD4" w:rsidRDefault="00763FD4" w:rsidP="00763FD4">
      <w:pPr>
        <w:pStyle w:val="Sansinterligne"/>
        <w:rPr>
          <w:color w:val="7030A0"/>
        </w:rPr>
      </w:pPr>
    </w:p>
    <w:p w14:paraId="66942701" w14:textId="02B7443E" w:rsidR="00B01594" w:rsidRPr="00763FD4" w:rsidRDefault="00763FD4" w:rsidP="00763FD4">
      <w:pPr>
        <w:pStyle w:val="Sansinterligne"/>
        <w:numPr>
          <w:ilvl w:val="0"/>
          <w:numId w:val="5"/>
        </w:numPr>
        <w:rPr>
          <w:color w:val="C45911" w:themeColor="accent2" w:themeShade="BF"/>
        </w:rPr>
      </w:pPr>
      <w:r w:rsidRPr="00763FD4">
        <w:rPr>
          <w:b/>
          <w:bCs/>
          <w:color w:val="C45911" w:themeColor="accent2" w:themeShade="BF"/>
        </w:rPr>
        <w:t xml:space="preserve">Processus </w:t>
      </w:r>
      <w:r w:rsidR="00B01594" w:rsidRPr="00763FD4">
        <w:rPr>
          <w:b/>
          <w:bCs/>
          <w:color w:val="C45911" w:themeColor="accent2" w:themeShade="BF"/>
        </w:rPr>
        <w:t>de création, t</w:t>
      </w:r>
      <w:r w:rsidR="001F55C5" w:rsidRPr="00763FD4">
        <w:rPr>
          <w:b/>
          <w:bCs/>
          <w:color w:val="C45911" w:themeColor="accent2" w:themeShade="BF"/>
        </w:rPr>
        <w:t>emps de création de l’œuvre, de découverte par le spectateur </w:t>
      </w:r>
      <w:r w:rsidR="00B01594" w:rsidRPr="00763FD4">
        <w:rPr>
          <w:b/>
          <w:bCs/>
          <w:color w:val="C45911" w:themeColor="accent2" w:themeShade="BF"/>
        </w:rPr>
        <w:t>(</w:t>
      </w:r>
      <w:r w:rsidR="001F55C5" w:rsidRPr="00763FD4">
        <w:rPr>
          <w:b/>
          <w:bCs/>
          <w:color w:val="C45911" w:themeColor="accent2" w:themeShade="BF"/>
        </w:rPr>
        <w:t>prise en compte de la temporalité peinte ou réelle</w:t>
      </w:r>
      <w:r w:rsidR="00B01594" w:rsidRPr="00763FD4">
        <w:rPr>
          <w:b/>
          <w:bCs/>
          <w:color w:val="C45911" w:themeColor="accent2" w:themeShade="BF"/>
        </w:rPr>
        <w:t>) :</w:t>
      </w:r>
      <w:r w:rsidR="001F55C5" w:rsidRPr="00763FD4">
        <w:rPr>
          <w:color w:val="C45911" w:themeColor="accent2" w:themeShade="BF"/>
        </w:rPr>
        <w:t xml:space="preserve"> </w:t>
      </w:r>
    </w:p>
    <w:p w14:paraId="253EE880" w14:textId="09127F56" w:rsidR="00D8587F" w:rsidRPr="00763FD4" w:rsidRDefault="00D8587F" w:rsidP="00763FD4">
      <w:pPr>
        <w:pStyle w:val="Sansinterligne"/>
        <w:ind w:left="1416"/>
        <w:rPr>
          <w:color w:val="C45911" w:themeColor="accent2" w:themeShade="BF"/>
        </w:rPr>
      </w:pPr>
      <w:r w:rsidRPr="00763FD4">
        <w:rPr>
          <w:color w:val="C45911" w:themeColor="accent2" w:themeShade="BF"/>
        </w:rPr>
        <w:t>- Cycle des Nymphéas : fait suite à la série des Nymphéas composée de 250 petits tableaux qui font office d’études et de travaux préparatoires pour les panneaux monumentaux exposés au musée de l’Orangerie</w:t>
      </w:r>
    </w:p>
    <w:p w14:paraId="2BA652AB" w14:textId="7E94179C" w:rsidR="00B01594" w:rsidRPr="00763FD4" w:rsidRDefault="00B01594" w:rsidP="00763FD4">
      <w:pPr>
        <w:pStyle w:val="Sansinterligne"/>
        <w:ind w:left="1416"/>
        <w:rPr>
          <w:color w:val="C45911" w:themeColor="accent2" w:themeShade="BF"/>
        </w:rPr>
      </w:pPr>
      <w:r w:rsidRPr="00763FD4">
        <w:rPr>
          <w:color w:val="C45911" w:themeColor="accent2" w:themeShade="BF"/>
        </w:rPr>
        <w:t xml:space="preserve">- </w:t>
      </w:r>
      <w:r w:rsidR="00D8587F" w:rsidRPr="00763FD4">
        <w:rPr>
          <w:color w:val="C45911" w:themeColor="accent2" w:themeShade="BF"/>
        </w:rPr>
        <w:t>E</w:t>
      </w:r>
      <w:r w:rsidRPr="00763FD4">
        <w:rPr>
          <w:color w:val="C45911" w:themeColor="accent2" w:themeShade="BF"/>
        </w:rPr>
        <w:t xml:space="preserve">xposition Extra-Natural : </w:t>
      </w:r>
      <w:r w:rsidR="00542615" w:rsidRPr="00763FD4">
        <w:rPr>
          <w:color w:val="C45911" w:themeColor="accent2" w:themeShade="BF"/>
        </w:rPr>
        <w:t>différents tableaux réalisés par impression numérique</w:t>
      </w:r>
      <w:r w:rsidRPr="00763FD4">
        <w:rPr>
          <w:color w:val="C45911" w:themeColor="accent2" w:themeShade="BF"/>
        </w:rPr>
        <w:t xml:space="preserve"> dirigent le spectateur vers l’œuvre monumentale finale</w:t>
      </w:r>
      <w:r w:rsidR="00D8587F" w:rsidRPr="00763FD4">
        <w:rPr>
          <w:color w:val="C45911" w:themeColor="accent2" w:themeShade="BF"/>
        </w:rPr>
        <w:t>, comme un résultat des précédentes petites œuvres</w:t>
      </w:r>
    </w:p>
    <w:p w14:paraId="45BDD72F" w14:textId="74EA9560" w:rsidR="00763FD4" w:rsidRDefault="008B3682" w:rsidP="00763FD4">
      <w:pPr>
        <w:pStyle w:val="Sansinterligne"/>
        <w:rPr>
          <w:color w:val="C45911" w:themeColor="accent2" w:themeShade="BF"/>
        </w:rPr>
      </w:pPr>
      <w:r w:rsidRPr="00763FD4">
        <w:rPr>
          <w:color w:val="C45911" w:themeColor="accent2" w:themeShade="BF"/>
        </w:rPr>
        <w:tab/>
      </w:r>
      <w:r w:rsidR="00763FD4">
        <w:rPr>
          <w:color w:val="C45911" w:themeColor="accent2" w:themeShade="BF"/>
        </w:rPr>
        <w:tab/>
      </w:r>
      <w:r w:rsidR="00763FD4">
        <w:rPr>
          <w:color w:val="C45911" w:themeColor="accent2" w:themeShade="BF"/>
        </w:rPr>
        <w:tab/>
      </w:r>
      <w:r w:rsidR="00763FD4">
        <w:rPr>
          <w:color w:val="C45911" w:themeColor="accent2" w:themeShade="BF"/>
        </w:rPr>
        <w:tab/>
      </w:r>
      <w:r w:rsidR="00763FD4">
        <w:rPr>
          <w:color w:val="C45911" w:themeColor="accent2" w:themeShade="BF"/>
        </w:rPr>
        <w:tab/>
      </w:r>
      <w:r w:rsidR="00763FD4">
        <w:rPr>
          <w:color w:val="C45911" w:themeColor="accent2" w:themeShade="BF"/>
        </w:rPr>
        <w:tab/>
      </w:r>
      <w:r w:rsidRPr="00763FD4">
        <w:rPr>
          <w:color w:val="C45911" w:themeColor="accent2" w:themeShade="BF"/>
        </w:rPr>
        <w:sym w:font="Wingdings" w:char="F0E0"/>
      </w:r>
      <w:r w:rsidRPr="00763FD4">
        <w:rPr>
          <w:color w:val="C45911" w:themeColor="accent2" w:themeShade="BF"/>
        </w:rPr>
        <w:t xml:space="preserve"> série </w:t>
      </w:r>
    </w:p>
    <w:p w14:paraId="667180B4" w14:textId="77777777" w:rsidR="00BE619E" w:rsidRDefault="00BE619E" w:rsidP="00763FD4">
      <w:pPr>
        <w:pStyle w:val="Sansinterligne"/>
        <w:rPr>
          <w:color w:val="C45911" w:themeColor="accent2" w:themeShade="BF"/>
        </w:rPr>
      </w:pPr>
    </w:p>
    <w:p w14:paraId="00FB660C" w14:textId="48E0D8D1" w:rsidR="00BE619E" w:rsidRPr="00BE619E" w:rsidRDefault="00BE619E" w:rsidP="00BE619E">
      <w:pPr>
        <w:pStyle w:val="Sansinterligne"/>
        <w:numPr>
          <w:ilvl w:val="0"/>
          <w:numId w:val="5"/>
        </w:numPr>
        <w:rPr>
          <w:b/>
          <w:bCs/>
          <w:color w:val="C45911" w:themeColor="accent2" w:themeShade="BF"/>
        </w:rPr>
      </w:pPr>
      <w:r w:rsidRPr="00BE619E">
        <w:rPr>
          <w:b/>
          <w:bCs/>
          <w:color w:val="C45911" w:themeColor="accent2" w:themeShade="BF"/>
        </w:rPr>
        <w:t>Engagement des œuvres</w:t>
      </w:r>
      <w:r>
        <w:rPr>
          <w:b/>
          <w:bCs/>
          <w:color w:val="C45911" w:themeColor="accent2" w:themeShade="BF"/>
        </w:rPr>
        <w:t> :</w:t>
      </w:r>
      <w:r w:rsidRPr="00BE619E">
        <w:rPr>
          <w:b/>
          <w:bCs/>
          <w:color w:val="C45911" w:themeColor="accent2" w:themeShade="BF"/>
        </w:rPr>
        <w:t xml:space="preserve"> </w:t>
      </w:r>
    </w:p>
    <w:p w14:paraId="087960A3" w14:textId="77777777" w:rsidR="00AE6339" w:rsidRPr="00AA7357" w:rsidRDefault="00AE6339" w:rsidP="00AE6339">
      <w:pPr>
        <w:pStyle w:val="Paragraphedeliste"/>
        <w:ind w:firstLine="696"/>
        <w:rPr>
          <w:color w:val="C45911" w:themeColor="accent2" w:themeShade="BF"/>
        </w:rPr>
      </w:pPr>
      <w:r w:rsidRPr="00AA7357">
        <w:rPr>
          <w:color w:val="C45911" w:themeColor="accent2" w:themeShade="BF"/>
        </w:rPr>
        <w:t>- Cycle des Nymphéas : signe de paix que MONET offre à l’Etat pour l’armistice de 1918 (il écrit à son ami Georges Clémenceau « je veux vous donner ces deux panneaux que je signerais du jour de la victoire »)</w:t>
      </w:r>
    </w:p>
    <w:p w14:paraId="56D76D10" w14:textId="0131011B" w:rsidR="00AE6339" w:rsidRPr="00AA7357" w:rsidRDefault="00AE6339" w:rsidP="00AE6339">
      <w:pPr>
        <w:pStyle w:val="Paragraphedeliste"/>
        <w:ind w:firstLine="696"/>
        <w:rPr>
          <w:color w:val="C45911" w:themeColor="accent2" w:themeShade="BF"/>
        </w:rPr>
      </w:pPr>
      <w:r w:rsidRPr="00AA7357">
        <w:rPr>
          <w:color w:val="C45911" w:themeColor="accent2" w:themeShade="BF"/>
        </w:rPr>
        <w:t xml:space="preserve">- Extra-Natural : </w:t>
      </w:r>
      <w:r w:rsidR="00150991" w:rsidRPr="00AA7357">
        <w:rPr>
          <w:color w:val="C45911" w:themeColor="accent2" w:themeShade="BF"/>
        </w:rPr>
        <w:t>ode à la nature</w:t>
      </w:r>
      <w:r w:rsidRPr="00AA7357">
        <w:rPr>
          <w:color w:val="C45911" w:themeColor="accent2" w:themeShade="BF"/>
        </w:rPr>
        <w:t xml:space="preserve"> </w:t>
      </w:r>
      <w:r w:rsidRPr="00AA7357">
        <w:rPr>
          <w:color w:val="C45911" w:themeColor="accent2" w:themeShade="BF"/>
        </w:rPr>
        <w:sym w:font="Wingdings" w:char="F0E0"/>
      </w:r>
      <w:r w:rsidRPr="00AA7357">
        <w:rPr>
          <w:color w:val="C45911" w:themeColor="accent2" w:themeShade="BF"/>
        </w:rPr>
        <w:t xml:space="preserve"> l’exposition reflète </w:t>
      </w:r>
      <w:r w:rsidR="00150991" w:rsidRPr="00AA7357">
        <w:rPr>
          <w:color w:val="C45911" w:themeColor="accent2" w:themeShade="BF"/>
        </w:rPr>
        <w:t xml:space="preserve">la nature </w:t>
      </w:r>
      <w:r w:rsidRPr="00AA7357">
        <w:rPr>
          <w:color w:val="C45911" w:themeColor="accent2" w:themeShade="BF"/>
        </w:rPr>
        <w:t xml:space="preserve">qui </w:t>
      </w:r>
      <w:r w:rsidR="00150991" w:rsidRPr="00AA7357">
        <w:rPr>
          <w:color w:val="C45911" w:themeColor="accent2" w:themeShade="BF"/>
        </w:rPr>
        <w:t>est de plus en plus maîtrisée et conditionnée</w:t>
      </w:r>
      <w:r w:rsidRPr="00AA7357">
        <w:rPr>
          <w:color w:val="C45911" w:themeColor="accent2" w:themeShade="BF"/>
        </w:rPr>
        <w:t xml:space="preserve"> (</w:t>
      </w:r>
      <w:r w:rsidR="00150991" w:rsidRPr="00AA7357">
        <w:rPr>
          <w:color w:val="C45911" w:themeColor="accent2" w:themeShade="BF"/>
        </w:rPr>
        <w:t xml:space="preserve">vie artificielle </w:t>
      </w:r>
      <w:r w:rsidRPr="00AA7357">
        <w:rPr>
          <w:color w:val="C45911" w:themeColor="accent2" w:themeShade="BF"/>
        </w:rPr>
        <w:t xml:space="preserve">et manipulation génétique </w:t>
      </w:r>
      <w:r w:rsidR="00150991" w:rsidRPr="00AA7357">
        <w:rPr>
          <w:color w:val="C45911" w:themeColor="accent2" w:themeShade="BF"/>
        </w:rPr>
        <w:t>devenue</w:t>
      </w:r>
      <w:r w:rsidRPr="00AA7357">
        <w:rPr>
          <w:color w:val="C45911" w:themeColor="accent2" w:themeShade="BF"/>
        </w:rPr>
        <w:t>s</w:t>
      </w:r>
      <w:r w:rsidR="00150991" w:rsidRPr="00AA7357">
        <w:rPr>
          <w:color w:val="C45911" w:themeColor="accent2" w:themeShade="BF"/>
        </w:rPr>
        <w:t xml:space="preserve"> possible</w:t>
      </w:r>
      <w:r w:rsidRPr="00AA7357">
        <w:rPr>
          <w:color w:val="C45911" w:themeColor="accent2" w:themeShade="BF"/>
        </w:rPr>
        <w:t xml:space="preserve">s) </w:t>
      </w:r>
      <w:r w:rsidRPr="00AA7357">
        <w:rPr>
          <w:color w:val="C45911" w:themeColor="accent2" w:themeShade="BF"/>
        </w:rPr>
        <w:sym w:font="Wingdings" w:char="F0E0"/>
      </w:r>
      <w:r w:rsidRPr="00AA7357">
        <w:rPr>
          <w:color w:val="C45911" w:themeColor="accent2" w:themeShade="BF"/>
        </w:rPr>
        <w:t xml:space="preserve"> l’impact de l’homme sur la nature, une biodiversité réellement naturelle à préserver</w:t>
      </w:r>
      <w:r w:rsidR="00AA7357" w:rsidRPr="00AA7357">
        <w:rPr>
          <w:color w:val="C45911" w:themeColor="accent2" w:themeShade="BF"/>
        </w:rPr>
        <w:t xml:space="preserve">, la possibilité de symbiose entre l’homme et la nature (écran virtuel : les plantes interagissent, suivent les mouvements des spectateurs (=hommes) </w:t>
      </w:r>
      <w:r w:rsidR="00AA7357">
        <w:rPr>
          <w:color w:val="C45911" w:themeColor="accent2" w:themeShade="BF"/>
        </w:rPr>
        <w:t>-&gt;</w:t>
      </w:r>
      <w:r w:rsidR="00AA7357" w:rsidRPr="00AA7357">
        <w:rPr>
          <w:color w:val="C45911" w:themeColor="accent2" w:themeShade="BF"/>
        </w:rPr>
        <w:t xml:space="preserve"> harmonie parfaite entre ces deux espèces)</w:t>
      </w:r>
    </w:p>
    <w:p w14:paraId="15F2B040" w14:textId="3158F54E" w:rsidR="00150991" w:rsidRDefault="00150991">
      <w:pPr>
        <w:rPr>
          <w:rFonts w:ascii="Roboto" w:hAnsi="Roboto"/>
          <w:color w:val="0F0F0F"/>
          <w:sz w:val="21"/>
          <w:szCs w:val="21"/>
        </w:rPr>
      </w:pPr>
    </w:p>
    <w:p w14:paraId="14AF22E8" w14:textId="1551A176" w:rsidR="009B00BB" w:rsidRDefault="009B00BB">
      <w:pPr>
        <w:rPr>
          <w:b/>
          <w:bCs/>
        </w:rPr>
      </w:pPr>
    </w:p>
    <w:p w14:paraId="77ABDC45" w14:textId="172E29F2" w:rsidR="00EA504C" w:rsidRDefault="00EA504C">
      <w:pPr>
        <w:rPr>
          <w:b/>
          <w:bCs/>
        </w:rPr>
      </w:pPr>
    </w:p>
    <w:p w14:paraId="610BEB86" w14:textId="21575FE1" w:rsidR="00EA504C" w:rsidRDefault="00EA504C">
      <w:pPr>
        <w:rPr>
          <w:b/>
          <w:bCs/>
        </w:rPr>
      </w:pPr>
    </w:p>
    <w:p w14:paraId="3005F94E" w14:textId="7039F282" w:rsidR="00EA504C" w:rsidRDefault="00EA504C">
      <w:pPr>
        <w:rPr>
          <w:b/>
          <w:bCs/>
        </w:rPr>
      </w:pPr>
    </w:p>
    <w:p w14:paraId="7A1968DF" w14:textId="3BD938C2" w:rsidR="00EA504C" w:rsidRDefault="00EA504C">
      <w:pPr>
        <w:rPr>
          <w:b/>
          <w:bCs/>
        </w:rPr>
      </w:pPr>
    </w:p>
    <w:sectPr w:rsidR="00EA5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56769" w14:textId="77777777" w:rsidR="0081460C" w:rsidRDefault="0081460C" w:rsidP="00D8587F">
      <w:pPr>
        <w:spacing w:after="0" w:line="240" w:lineRule="auto"/>
      </w:pPr>
      <w:r>
        <w:separator/>
      </w:r>
    </w:p>
  </w:endnote>
  <w:endnote w:type="continuationSeparator" w:id="0">
    <w:p w14:paraId="73600F95" w14:textId="77777777" w:rsidR="0081460C" w:rsidRDefault="0081460C" w:rsidP="00D8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Symbo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248C" w14:textId="77777777" w:rsidR="0081460C" w:rsidRDefault="0081460C" w:rsidP="00D8587F">
      <w:pPr>
        <w:spacing w:after="0" w:line="240" w:lineRule="auto"/>
      </w:pPr>
      <w:r>
        <w:separator/>
      </w:r>
    </w:p>
  </w:footnote>
  <w:footnote w:type="continuationSeparator" w:id="0">
    <w:p w14:paraId="7BB428DF" w14:textId="77777777" w:rsidR="0081460C" w:rsidRDefault="0081460C" w:rsidP="00D85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F2F41"/>
    <w:multiLevelType w:val="hybridMultilevel"/>
    <w:tmpl w:val="F6D4CC66"/>
    <w:lvl w:ilvl="0" w:tplc="B7DE4BC4">
      <w:start w:val="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A74192"/>
    <w:multiLevelType w:val="hybridMultilevel"/>
    <w:tmpl w:val="EC144924"/>
    <w:lvl w:ilvl="0" w:tplc="FE12828E">
      <w:start w:val="3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DDB0290"/>
    <w:multiLevelType w:val="hybridMultilevel"/>
    <w:tmpl w:val="11A08D0A"/>
    <w:lvl w:ilvl="0" w:tplc="9330FE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B68C8"/>
    <w:multiLevelType w:val="hybridMultilevel"/>
    <w:tmpl w:val="4B42B4AE"/>
    <w:lvl w:ilvl="0" w:tplc="1FEAD25A">
      <w:start w:val="3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191F12"/>
    <w:multiLevelType w:val="hybridMultilevel"/>
    <w:tmpl w:val="55A05354"/>
    <w:lvl w:ilvl="0" w:tplc="8CB206F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C7BE0"/>
    <w:multiLevelType w:val="hybridMultilevel"/>
    <w:tmpl w:val="AFDC09D8"/>
    <w:lvl w:ilvl="0" w:tplc="B258545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375527">
    <w:abstractNumId w:val="4"/>
  </w:num>
  <w:num w:numId="2" w16cid:durableId="403376220">
    <w:abstractNumId w:val="5"/>
  </w:num>
  <w:num w:numId="3" w16cid:durableId="2121873663">
    <w:abstractNumId w:val="0"/>
  </w:num>
  <w:num w:numId="4" w16cid:durableId="1840072468">
    <w:abstractNumId w:val="3"/>
  </w:num>
  <w:num w:numId="5" w16cid:durableId="893001057">
    <w:abstractNumId w:val="2"/>
  </w:num>
  <w:num w:numId="6" w16cid:durableId="2056543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BB"/>
    <w:rsid w:val="000049E4"/>
    <w:rsid w:val="00021D92"/>
    <w:rsid w:val="00073610"/>
    <w:rsid w:val="00083E98"/>
    <w:rsid w:val="000C09B9"/>
    <w:rsid w:val="000C5D30"/>
    <w:rsid w:val="00115142"/>
    <w:rsid w:val="00150991"/>
    <w:rsid w:val="00160B7F"/>
    <w:rsid w:val="00170948"/>
    <w:rsid w:val="00183993"/>
    <w:rsid w:val="001E3728"/>
    <w:rsid w:val="001F55C5"/>
    <w:rsid w:val="002044AB"/>
    <w:rsid w:val="0024423C"/>
    <w:rsid w:val="0026431F"/>
    <w:rsid w:val="0027419D"/>
    <w:rsid w:val="002D53E0"/>
    <w:rsid w:val="002F1C43"/>
    <w:rsid w:val="00334D51"/>
    <w:rsid w:val="003543BD"/>
    <w:rsid w:val="00370203"/>
    <w:rsid w:val="003A041A"/>
    <w:rsid w:val="003B31CF"/>
    <w:rsid w:val="003E0C28"/>
    <w:rsid w:val="003F44AE"/>
    <w:rsid w:val="003F600C"/>
    <w:rsid w:val="00400854"/>
    <w:rsid w:val="004106DB"/>
    <w:rsid w:val="0041653F"/>
    <w:rsid w:val="004A0A8D"/>
    <w:rsid w:val="004A19E9"/>
    <w:rsid w:val="004B6C8C"/>
    <w:rsid w:val="004C2FC6"/>
    <w:rsid w:val="004C5E99"/>
    <w:rsid w:val="004F34D1"/>
    <w:rsid w:val="00526E97"/>
    <w:rsid w:val="0054217D"/>
    <w:rsid w:val="00542615"/>
    <w:rsid w:val="005645F6"/>
    <w:rsid w:val="006064CC"/>
    <w:rsid w:val="006369CE"/>
    <w:rsid w:val="00643312"/>
    <w:rsid w:val="00650E2E"/>
    <w:rsid w:val="00693CC2"/>
    <w:rsid w:val="00763FD4"/>
    <w:rsid w:val="00773D0F"/>
    <w:rsid w:val="007C42D1"/>
    <w:rsid w:val="007E2B6F"/>
    <w:rsid w:val="0080410C"/>
    <w:rsid w:val="0081460C"/>
    <w:rsid w:val="00845372"/>
    <w:rsid w:val="008A46AC"/>
    <w:rsid w:val="008B3682"/>
    <w:rsid w:val="0091084F"/>
    <w:rsid w:val="00915D42"/>
    <w:rsid w:val="009838C8"/>
    <w:rsid w:val="009B00BB"/>
    <w:rsid w:val="009B2427"/>
    <w:rsid w:val="009C1ADF"/>
    <w:rsid w:val="009C30D2"/>
    <w:rsid w:val="009D61AE"/>
    <w:rsid w:val="009E7ED7"/>
    <w:rsid w:val="00A41134"/>
    <w:rsid w:val="00A740F0"/>
    <w:rsid w:val="00A945D6"/>
    <w:rsid w:val="00AA7357"/>
    <w:rsid w:val="00AA777F"/>
    <w:rsid w:val="00AD26A6"/>
    <w:rsid w:val="00AE6339"/>
    <w:rsid w:val="00B01594"/>
    <w:rsid w:val="00B10E58"/>
    <w:rsid w:val="00B214D4"/>
    <w:rsid w:val="00B54BD3"/>
    <w:rsid w:val="00B56500"/>
    <w:rsid w:val="00BB5B9E"/>
    <w:rsid w:val="00BE619E"/>
    <w:rsid w:val="00C123EB"/>
    <w:rsid w:val="00C12E56"/>
    <w:rsid w:val="00C24E63"/>
    <w:rsid w:val="00C419CA"/>
    <w:rsid w:val="00CA0309"/>
    <w:rsid w:val="00CB0D13"/>
    <w:rsid w:val="00D8587F"/>
    <w:rsid w:val="00DD4909"/>
    <w:rsid w:val="00DD7D41"/>
    <w:rsid w:val="00E145C8"/>
    <w:rsid w:val="00E54693"/>
    <w:rsid w:val="00E71911"/>
    <w:rsid w:val="00E90B57"/>
    <w:rsid w:val="00EA2D74"/>
    <w:rsid w:val="00EA504C"/>
    <w:rsid w:val="00ED12D5"/>
    <w:rsid w:val="00F01D50"/>
    <w:rsid w:val="00F32E10"/>
    <w:rsid w:val="00F43F35"/>
    <w:rsid w:val="00F6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2380"/>
  <w15:chartTrackingRefBased/>
  <w15:docId w15:val="{92D06329-DCCE-44F0-BAB9-8D6954FC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B0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00B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table" w:styleId="Grilledutableau">
    <w:name w:val="Table Grid"/>
    <w:basedOn w:val="TableauNormal"/>
    <w:uiPriority w:val="39"/>
    <w:rsid w:val="001F55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D26A6"/>
    <w:pPr>
      <w:ind w:left="720"/>
      <w:contextualSpacing/>
    </w:pPr>
  </w:style>
  <w:style w:type="paragraph" w:styleId="Sansinterligne">
    <w:name w:val="No Spacing"/>
    <w:uiPriority w:val="1"/>
    <w:qFormat/>
    <w:rsid w:val="003B31C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85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87F"/>
  </w:style>
  <w:style w:type="paragraph" w:styleId="Pieddepage">
    <w:name w:val="footer"/>
    <w:basedOn w:val="Normal"/>
    <w:link w:val="PieddepageCar"/>
    <w:uiPriority w:val="99"/>
    <w:unhideWhenUsed/>
    <w:rsid w:val="00D85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CHAMAILLARD Enola</dc:creator>
  <cp:keywords/>
  <dc:description/>
  <cp:lastModifiedBy>CHAMAILLARD Enola</cp:lastModifiedBy>
  <cp:revision>85</cp:revision>
  <dcterms:created xsi:type="dcterms:W3CDTF">2022-11-01T21:40:00Z</dcterms:created>
  <dcterms:modified xsi:type="dcterms:W3CDTF">2022-11-06T15:43:00Z</dcterms:modified>
</cp:coreProperties>
</file>