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AE41" w14:textId="68AC1909" w:rsidR="00AB6A86" w:rsidRPr="00DF505B" w:rsidRDefault="0085008A" w:rsidP="0085008A">
      <w:pPr>
        <w:jc w:val="center"/>
        <w:rPr>
          <w:b/>
          <w:bCs/>
        </w:rPr>
      </w:pPr>
      <w:r w:rsidRPr="00DF505B">
        <w:rPr>
          <w:b/>
          <w:bCs/>
        </w:rPr>
        <w:t>Fiche individuelle de compétences – Module E6 – années scolaires 2022-2023-2024</w:t>
      </w:r>
    </w:p>
    <w:p w14:paraId="0630F60A" w14:textId="1F5B8054" w:rsidR="0085008A" w:rsidRDefault="0085008A" w:rsidP="0085008A">
      <w:pPr>
        <w:jc w:val="center"/>
      </w:pPr>
    </w:p>
    <w:p w14:paraId="1456CDD1" w14:textId="4E2A4EA7" w:rsidR="0085008A" w:rsidRDefault="0085008A" w:rsidP="0085008A">
      <w:pPr>
        <w:jc w:val="center"/>
      </w:pPr>
      <w:r>
        <w:t>Nom : ………………………………………….  Prénom : ………………………………………. BTS COM 2</w:t>
      </w:r>
    </w:p>
    <w:p w14:paraId="0ED3A64E" w14:textId="689FC0A5" w:rsidR="0085008A" w:rsidRDefault="0085008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2286"/>
        <w:gridCol w:w="1559"/>
        <w:gridCol w:w="1763"/>
        <w:gridCol w:w="777"/>
      </w:tblGrid>
      <w:tr w:rsidR="0085008A" w14:paraId="11ECA6E7" w14:textId="77777777" w:rsidTr="0085008A">
        <w:tc>
          <w:tcPr>
            <w:tcW w:w="2671" w:type="dxa"/>
          </w:tcPr>
          <w:p w14:paraId="6B4F1C22" w14:textId="14F91D30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Compétences</w:t>
            </w:r>
          </w:p>
        </w:tc>
        <w:tc>
          <w:tcPr>
            <w:tcW w:w="2286" w:type="dxa"/>
          </w:tcPr>
          <w:p w14:paraId="54F7247C" w14:textId="361DCC11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Lieu</w:t>
            </w:r>
          </w:p>
        </w:tc>
        <w:tc>
          <w:tcPr>
            <w:tcW w:w="1559" w:type="dxa"/>
          </w:tcPr>
          <w:p w14:paraId="283F84B0" w14:textId="6BF06DC2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Vécue</w:t>
            </w:r>
          </w:p>
        </w:tc>
        <w:tc>
          <w:tcPr>
            <w:tcW w:w="1763" w:type="dxa"/>
          </w:tcPr>
          <w:p w14:paraId="27D20D09" w14:textId="124B132D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Mixte</w:t>
            </w:r>
          </w:p>
        </w:tc>
        <w:tc>
          <w:tcPr>
            <w:tcW w:w="777" w:type="dxa"/>
          </w:tcPr>
          <w:p w14:paraId="404AD57B" w14:textId="666E4A06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Page</w:t>
            </w:r>
          </w:p>
        </w:tc>
      </w:tr>
      <w:tr w:rsidR="0085008A" w14:paraId="3C7430ED" w14:textId="77777777" w:rsidTr="00DF505B">
        <w:tc>
          <w:tcPr>
            <w:tcW w:w="2671" w:type="dxa"/>
            <w:shd w:val="clear" w:color="auto" w:fill="FFF2CC" w:themeFill="accent4" w:themeFillTint="33"/>
          </w:tcPr>
          <w:p w14:paraId="3ECBAFE1" w14:textId="57FD867C" w:rsidR="0085008A" w:rsidRDefault="0085008A">
            <w:r>
              <w:t>C</w:t>
            </w:r>
            <w:r>
              <w:t xml:space="preserve"> 11.1.</w:t>
            </w:r>
            <w:r>
              <w:t xml:space="preserve"> S'approprier la demande de l'annonceur </w:t>
            </w:r>
          </w:p>
        </w:tc>
        <w:tc>
          <w:tcPr>
            <w:tcW w:w="2286" w:type="dxa"/>
            <w:shd w:val="clear" w:color="auto" w:fill="FFF2CC" w:themeFill="accent4" w:themeFillTint="33"/>
          </w:tcPr>
          <w:p w14:paraId="27271AEA" w14:textId="77777777" w:rsidR="0085008A" w:rsidRDefault="0085008A"/>
        </w:tc>
        <w:tc>
          <w:tcPr>
            <w:tcW w:w="1559" w:type="dxa"/>
            <w:shd w:val="clear" w:color="auto" w:fill="FFF2CC" w:themeFill="accent4" w:themeFillTint="33"/>
          </w:tcPr>
          <w:p w14:paraId="2240441F" w14:textId="77777777" w:rsidR="0085008A" w:rsidRDefault="0085008A"/>
        </w:tc>
        <w:tc>
          <w:tcPr>
            <w:tcW w:w="1763" w:type="dxa"/>
            <w:shd w:val="clear" w:color="auto" w:fill="FFF2CC" w:themeFill="accent4" w:themeFillTint="33"/>
          </w:tcPr>
          <w:p w14:paraId="16822D2F" w14:textId="77777777" w:rsidR="0085008A" w:rsidRDefault="0085008A"/>
        </w:tc>
        <w:tc>
          <w:tcPr>
            <w:tcW w:w="777" w:type="dxa"/>
            <w:shd w:val="clear" w:color="auto" w:fill="FFF2CC" w:themeFill="accent4" w:themeFillTint="33"/>
          </w:tcPr>
          <w:p w14:paraId="1B0C2856" w14:textId="77777777" w:rsidR="0085008A" w:rsidRDefault="0085008A"/>
        </w:tc>
      </w:tr>
      <w:tr w:rsidR="0085008A" w14:paraId="5669EDD2" w14:textId="77777777" w:rsidTr="00DF505B">
        <w:tc>
          <w:tcPr>
            <w:tcW w:w="2671" w:type="dxa"/>
            <w:shd w:val="clear" w:color="auto" w:fill="FFF2CC" w:themeFill="accent4" w:themeFillTint="33"/>
          </w:tcPr>
          <w:p w14:paraId="5085CB17" w14:textId="341D1D09" w:rsidR="0085008A" w:rsidRDefault="0085008A" w:rsidP="0085008A">
            <w:r>
              <w:t>C 11.2.</w:t>
            </w:r>
            <w:r>
              <w:t xml:space="preserve"> Identifier les solutions à mettre en œuvre dans le projet </w:t>
            </w:r>
          </w:p>
        </w:tc>
        <w:tc>
          <w:tcPr>
            <w:tcW w:w="2286" w:type="dxa"/>
            <w:shd w:val="clear" w:color="auto" w:fill="FFF2CC" w:themeFill="accent4" w:themeFillTint="33"/>
          </w:tcPr>
          <w:p w14:paraId="37CD06C6" w14:textId="77777777" w:rsidR="0085008A" w:rsidRDefault="0085008A"/>
        </w:tc>
        <w:tc>
          <w:tcPr>
            <w:tcW w:w="1559" w:type="dxa"/>
            <w:shd w:val="clear" w:color="auto" w:fill="FFF2CC" w:themeFill="accent4" w:themeFillTint="33"/>
          </w:tcPr>
          <w:p w14:paraId="4F89B677" w14:textId="77777777" w:rsidR="0085008A" w:rsidRDefault="0085008A"/>
        </w:tc>
        <w:tc>
          <w:tcPr>
            <w:tcW w:w="1763" w:type="dxa"/>
            <w:shd w:val="clear" w:color="auto" w:fill="FFF2CC" w:themeFill="accent4" w:themeFillTint="33"/>
          </w:tcPr>
          <w:p w14:paraId="7129D994" w14:textId="77777777" w:rsidR="0085008A" w:rsidRDefault="0085008A"/>
        </w:tc>
        <w:tc>
          <w:tcPr>
            <w:tcW w:w="777" w:type="dxa"/>
            <w:shd w:val="clear" w:color="auto" w:fill="FFF2CC" w:themeFill="accent4" w:themeFillTint="33"/>
          </w:tcPr>
          <w:p w14:paraId="6D8D079C" w14:textId="77777777" w:rsidR="0085008A" w:rsidRDefault="0085008A"/>
        </w:tc>
      </w:tr>
      <w:tr w:rsidR="0085008A" w14:paraId="51A32589" w14:textId="77777777" w:rsidTr="00DF505B">
        <w:tc>
          <w:tcPr>
            <w:tcW w:w="2671" w:type="dxa"/>
            <w:shd w:val="clear" w:color="auto" w:fill="FFF2CC" w:themeFill="accent4" w:themeFillTint="33"/>
          </w:tcPr>
          <w:p w14:paraId="7CA9B107" w14:textId="5BEFC1E0" w:rsidR="0085008A" w:rsidRDefault="0085008A">
            <w:r>
              <w:t>C 11.3.</w:t>
            </w:r>
            <w:r>
              <w:t xml:space="preserve"> Préparer le cahier des charges </w:t>
            </w:r>
          </w:p>
        </w:tc>
        <w:tc>
          <w:tcPr>
            <w:tcW w:w="2286" w:type="dxa"/>
            <w:shd w:val="clear" w:color="auto" w:fill="FFF2CC" w:themeFill="accent4" w:themeFillTint="33"/>
          </w:tcPr>
          <w:p w14:paraId="14F9479E" w14:textId="77777777" w:rsidR="0085008A" w:rsidRDefault="0085008A"/>
        </w:tc>
        <w:tc>
          <w:tcPr>
            <w:tcW w:w="1559" w:type="dxa"/>
            <w:shd w:val="clear" w:color="auto" w:fill="FFF2CC" w:themeFill="accent4" w:themeFillTint="33"/>
          </w:tcPr>
          <w:p w14:paraId="3A3D256E" w14:textId="77777777" w:rsidR="0085008A" w:rsidRDefault="0085008A"/>
        </w:tc>
        <w:tc>
          <w:tcPr>
            <w:tcW w:w="1763" w:type="dxa"/>
            <w:shd w:val="clear" w:color="auto" w:fill="FFF2CC" w:themeFill="accent4" w:themeFillTint="33"/>
          </w:tcPr>
          <w:p w14:paraId="56D1CD2B" w14:textId="77777777" w:rsidR="0085008A" w:rsidRDefault="0085008A"/>
        </w:tc>
        <w:tc>
          <w:tcPr>
            <w:tcW w:w="777" w:type="dxa"/>
            <w:shd w:val="clear" w:color="auto" w:fill="FFF2CC" w:themeFill="accent4" w:themeFillTint="33"/>
          </w:tcPr>
          <w:p w14:paraId="49B8CD27" w14:textId="77777777" w:rsidR="0085008A" w:rsidRDefault="0085008A"/>
        </w:tc>
      </w:tr>
      <w:tr w:rsidR="0085008A" w14:paraId="0ED3272C" w14:textId="77777777" w:rsidTr="00DF505B">
        <w:tc>
          <w:tcPr>
            <w:tcW w:w="2671" w:type="dxa"/>
            <w:shd w:val="clear" w:color="auto" w:fill="DEEAF6" w:themeFill="accent5" w:themeFillTint="33"/>
          </w:tcPr>
          <w:p w14:paraId="7AE3E6D6" w14:textId="17EDA5E3" w:rsidR="0085008A" w:rsidRDefault="0085008A">
            <w:r>
              <w:t>C 12.2.</w:t>
            </w:r>
            <w:r>
              <w:t xml:space="preserve"> Assurer la coordination des actions, leur suivi et leur contrôle</w:t>
            </w:r>
          </w:p>
        </w:tc>
        <w:tc>
          <w:tcPr>
            <w:tcW w:w="2286" w:type="dxa"/>
            <w:shd w:val="clear" w:color="auto" w:fill="DEEAF6" w:themeFill="accent5" w:themeFillTint="33"/>
          </w:tcPr>
          <w:p w14:paraId="141B996E" w14:textId="77777777" w:rsidR="0085008A" w:rsidRDefault="0085008A"/>
        </w:tc>
        <w:tc>
          <w:tcPr>
            <w:tcW w:w="1559" w:type="dxa"/>
            <w:shd w:val="clear" w:color="auto" w:fill="DEEAF6" w:themeFill="accent5" w:themeFillTint="33"/>
          </w:tcPr>
          <w:p w14:paraId="01D9C3D7" w14:textId="77777777" w:rsidR="0085008A" w:rsidRDefault="0085008A"/>
        </w:tc>
        <w:tc>
          <w:tcPr>
            <w:tcW w:w="1763" w:type="dxa"/>
            <w:shd w:val="clear" w:color="auto" w:fill="DEEAF6" w:themeFill="accent5" w:themeFillTint="33"/>
          </w:tcPr>
          <w:p w14:paraId="1A3ACF66" w14:textId="77777777" w:rsidR="0085008A" w:rsidRDefault="0085008A"/>
        </w:tc>
        <w:tc>
          <w:tcPr>
            <w:tcW w:w="777" w:type="dxa"/>
            <w:shd w:val="clear" w:color="auto" w:fill="DEEAF6" w:themeFill="accent5" w:themeFillTint="33"/>
          </w:tcPr>
          <w:p w14:paraId="5D3329B0" w14:textId="77777777" w:rsidR="0085008A" w:rsidRDefault="0085008A"/>
        </w:tc>
      </w:tr>
      <w:tr w:rsidR="0085008A" w14:paraId="11E9CB22" w14:textId="77777777" w:rsidTr="00DF505B">
        <w:tc>
          <w:tcPr>
            <w:tcW w:w="2671" w:type="dxa"/>
            <w:shd w:val="clear" w:color="auto" w:fill="DEEAF6" w:themeFill="accent5" w:themeFillTint="33"/>
          </w:tcPr>
          <w:p w14:paraId="55927B7B" w14:textId="1301C471" w:rsidR="0085008A" w:rsidRDefault="0085008A">
            <w:r>
              <w:t>C 12.3.</w:t>
            </w:r>
            <w:r w:rsidRPr="0085008A">
              <w:t xml:space="preserve"> Réguler le projet</w:t>
            </w:r>
          </w:p>
        </w:tc>
        <w:tc>
          <w:tcPr>
            <w:tcW w:w="2286" w:type="dxa"/>
            <w:shd w:val="clear" w:color="auto" w:fill="DEEAF6" w:themeFill="accent5" w:themeFillTint="33"/>
          </w:tcPr>
          <w:p w14:paraId="6F97F5DF" w14:textId="77777777" w:rsidR="0085008A" w:rsidRDefault="0085008A"/>
        </w:tc>
        <w:tc>
          <w:tcPr>
            <w:tcW w:w="1559" w:type="dxa"/>
            <w:shd w:val="clear" w:color="auto" w:fill="DEEAF6" w:themeFill="accent5" w:themeFillTint="33"/>
          </w:tcPr>
          <w:p w14:paraId="33C06433" w14:textId="77777777" w:rsidR="0085008A" w:rsidRDefault="0085008A"/>
        </w:tc>
        <w:tc>
          <w:tcPr>
            <w:tcW w:w="1763" w:type="dxa"/>
            <w:shd w:val="clear" w:color="auto" w:fill="DEEAF6" w:themeFill="accent5" w:themeFillTint="33"/>
          </w:tcPr>
          <w:p w14:paraId="76D0B97D" w14:textId="77777777" w:rsidR="0085008A" w:rsidRDefault="0085008A"/>
        </w:tc>
        <w:tc>
          <w:tcPr>
            <w:tcW w:w="777" w:type="dxa"/>
            <w:shd w:val="clear" w:color="auto" w:fill="DEEAF6" w:themeFill="accent5" w:themeFillTint="33"/>
          </w:tcPr>
          <w:p w14:paraId="4068DCC2" w14:textId="77777777" w:rsidR="0085008A" w:rsidRDefault="0085008A"/>
        </w:tc>
      </w:tr>
      <w:tr w:rsidR="0085008A" w14:paraId="3B3BDCF9" w14:textId="77777777" w:rsidTr="00DF505B">
        <w:tc>
          <w:tcPr>
            <w:tcW w:w="2671" w:type="dxa"/>
            <w:shd w:val="clear" w:color="auto" w:fill="E2EFD9" w:themeFill="accent6" w:themeFillTint="33"/>
          </w:tcPr>
          <w:p w14:paraId="512283DC" w14:textId="45D9E7C3" w:rsidR="0085008A" w:rsidRDefault="0085008A">
            <w:r>
              <w:t>C 13.1.</w:t>
            </w:r>
            <w:r w:rsidRPr="0085008A">
              <w:t xml:space="preserve"> Préparer et acheminer les documents techniques</w:t>
            </w:r>
          </w:p>
        </w:tc>
        <w:tc>
          <w:tcPr>
            <w:tcW w:w="2286" w:type="dxa"/>
            <w:shd w:val="clear" w:color="auto" w:fill="E2EFD9" w:themeFill="accent6" w:themeFillTint="33"/>
          </w:tcPr>
          <w:p w14:paraId="342964B7" w14:textId="77777777" w:rsidR="0085008A" w:rsidRDefault="0085008A"/>
        </w:tc>
        <w:tc>
          <w:tcPr>
            <w:tcW w:w="1559" w:type="dxa"/>
            <w:shd w:val="clear" w:color="auto" w:fill="E2EFD9" w:themeFill="accent6" w:themeFillTint="33"/>
          </w:tcPr>
          <w:p w14:paraId="3309997F" w14:textId="77777777" w:rsidR="0085008A" w:rsidRDefault="0085008A"/>
        </w:tc>
        <w:tc>
          <w:tcPr>
            <w:tcW w:w="1763" w:type="dxa"/>
            <w:shd w:val="clear" w:color="auto" w:fill="E2EFD9" w:themeFill="accent6" w:themeFillTint="33"/>
          </w:tcPr>
          <w:p w14:paraId="12526EE3" w14:textId="77777777" w:rsidR="0085008A" w:rsidRDefault="0085008A"/>
        </w:tc>
        <w:tc>
          <w:tcPr>
            <w:tcW w:w="777" w:type="dxa"/>
            <w:shd w:val="clear" w:color="auto" w:fill="E2EFD9" w:themeFill="accent6" w:themeFillTint="33"/>
          </w:tcPr>
          <w:p w14:paraId="7F74B475" w14:textId="77777777" w:rsidR="0085008A" w:rsidRDefault="0085008A"/>
        </w:tc>
      </w:tr>
      <w:tr w:rsidR="0085008A" w14:paraId="692E1295" w14:textId="77777777" w:rsidTr="00DF505B">
        <w:tc>
          <w:tcPr>
            <w:tcW w:w="2671" w:type="dxa"/>
            <w:shd w:val="clear" w:color="auto" w:fill="D4D1EF"/>
          </w:tcPr>
          <w:p w14:paraId="7734BFBB" w14:textId="539CECF8" w:rsidR="0085008A" w:rsidRDefault="0085008A">
            <w:r w:rsidRPr="0085008A">
              <w:t>C</w:t>
            </w:r>
            <w:r>
              <w:t xml:space="preserve"> </w:t>
            </w:r>
            <w:r w:rsidRPr="0085008A">
              <w:t>14.1. Participer à l'élaboration du message</w:t>
            </w:r>
          </w:p>
        </w:tc>
        <w:tc>
          <w:tcPr>
            <w:tcW w:w="2286" w:type="dxa"/>
            <w:shd w:val="clear" w:color="auto" w:fill="D4D1EF"/>
          </w:tcPr>
          <w:p w14:paraId="3DAC550E" w14:textId="77777777" w:rsidR="0085008A" w:rsidRDefault="0085008A"/>
        </w:tc>
        <w:tc>
          <w:tcPr>
            <w:tcW w:w="1559" w:type="dxa"/>
            <w:shd w:val="clear" w:color="auto" w:fill="D4D1EF"/>
          </w:tcPr>
          <w:p w14:paraId="1747D820" w14:textId="77777777" w:rsidR="0085008A" w:rsidRDefault="0085008A"/>
        </w:tc>
        <w:tc>
          <w:tcPr>
            <w:tcW w:w="1763" w:type="dxa"/>
            <w:shd w:val="clear" w:color="auto" w:fill="D4D1EF"/>
          </w:tcPr>
          <w:p w14:paraId="3A3AF587" w14:textId="77777777" w:rsidR="0085008A" w:rsidRDefault="0085008A"/>
        </w:tc>
        <w:tc>
          <w:tcPr>
            <w:tcW w:w="777" w:type="dxa"/>
            <w:shd w:val="clear" w:color="auto" w:fill="D4D1EF"/>
          </w:tcPr>
          <w:p w14:paraId="02EA14D6" w14:textId="77777777" w:rsidR="0085008A" w:rsidRDefault="0085008A"/>
        </w:tc>
      </w:tr>
      <w:tr w:rsidR="0085008A" w14:paraId="41D92148" w14:textId="77777777" w:rsidTr="00DF505B">
        <w:tc>
          <w:tcPr>
            <w:tcW w:w="2671" w:type="dxa"/>
            <w:shd w:val="clear" w:color="auto" w:fill="D4D1EF"/>
          </w:tcPr>
          <w:p w14:paraId="4EEB884E" w14:textId="463BCAB9" w:rsidR="0085008A" w:rsidRDefault="0085008A">
            <w:r w:rsidRPr="0085008A">
              <w:t>C</w:t>
            </w:r>
            <w:r>
              <w:t xml:space="preserve"> 1</w:t>
            </w:r>
            <w:r w:rsidRPr="0085008A">
              <w:t xml:space="preserve">4.2. </w:t>
            </w:r>
            <w:r w:rsidRPr="0085008A">
              <w:t>Élaborer</w:t>
            </w:r>
            <w:r w:rsidRPr="0085008A">
              <w:t xml:space="preserve"> les documents porteurs du message</w:t>
            </w:r>
          </w:p>
        </w:tc>
        <w:tc>
          <w:tcPr>
            <w:tcW w:w="2286" w:type="dxa"/>
            <w:shd w:val="clear" w:color="auto" w:fill="D4D1EF"/>
          </w:tcPr>
          <w:p w14:paraId="3CD8F9AB" w14:textId="77777777" w:rsidR="0085008A" w:rsidRDefault="0085008A"/>
        </w:tc>
        <w:tc>
          <w:tcPr>
            <w:tcW w:w="1559" w:type="dxa"/>
            <w:shd w:val="clear" w:color="auto" w:fill="D4D1EF"/>
          </w:tcPr>
          <w:p w14:paraId="6AEEED16" w14:textId="77777777" w:rsidR="0085008A" w:rsidRDefault="0085008A"/>
        </w:tc>
        <w:tc>
          <w:tcPr>
            <w:tcW w:w="1763" w:type="dxa"/>
            <w:shd w:val="clear" w:color="auto" w:fill="D4D1EF"/>
          </w:tcPr>
          <w:p w14:paraId="6B0A4845" w14:textId="77777777" w:rsidR="0085008A" w:rsidRDefault="0085008A"/>
        </w:tc>
        <w:tc>
          <w:tcPr>
            <w:tcW w:w="777" w:type="dxa"/>
            <w:shd w:val="clear" w:color="auto" w:fill="D4D1EF"/>
          </w:tcPr>
          <w:p w14:paraId="048372D6" w14:textId="77777777" w:rsidR="0085008A" w:rsidRDefault="0085008A"/>
        </w:tc>
      </w:tr>
      <w:tr w:rsidR="0085008A" w14:paraId="36757996" w14:textId="77777777" w:rsidTr="00DF505B">
        <w:tc>
          <w:tcPr>
            <w:tcW w:w="2671" w:type="dxa"/>
            <w:shd w:val="clear" w:color="auto" w:fill="D4D1EF"/>
          </w:tcPr>
          <w:p w14:paraId="4B6D67DB" w14:textId="7D5E42C7" w:rsidR="0085008A" w:rsidRDefault="0085008A">
            <w:r w:rsidRPr="0085008A">
              <w:t>C</w:t>
            </w:r>
            <w:r>
              <w:t xml:space="preserve"> 1</w:t>
            </w:r>
            <w:r w:rsidRPr="0085008A">
              <w:t>4</w:t>
            </w:r>
            <w:r>
              <w:t>.</w:t>
            </w:r>
            <w:r w:rsidRPr="0085008A">
              <w:t>3. Assurer le suivi de la production</w:t>
            </w:r>
          </w:p>
        </w:tc>
        <w:tc>
          <w:tcPr>
            <w:tcW w:w="2286" w:type="dxa"/>
            <w:shd w:val="clear" w:color="auto" w:fill="D4D1EF"/>
          </w:tcPr>
          <w:p w14:paraId="3F361B32" w14:textId="77777777" w:rsidR="0085008A" w:rsidRDefault="0085008A"/>
        </w:tc>
        <w:tc>
          <w:tcPr>
            <w:tcW w:w="1559" w:type="dxa"/>
            <w:shd w:val="clear" w:color="auto" w:fill="D4D1EF"/>
          </w:tcPr>
          <w:p w14:paraId="19BE1074" w14:textId="77777777" w:rsidR="0085008A" w:rsidRDefault="0085008A"/>
        </w:tc>
        <w:tc>
          <w:tcPr>
            <w:tcW w:w="1763" w:type="dxa"/>
            <w:shd w:val="clear" w:color="auto" w:fill="D4D1EF"/>
          </w:tcPr>
          <w:p w14:paraId="2B89E9F7" w14:textId="77777777" w:rsidR="0085008A" w:rsidRDefault="0085008A"/>
        </w:tc>
        <w:tc>
          <w:tcPr>
            <w:tcW w:w="777" w:type="dxa"/>
            <w:shd w:val="clear" w:color="auto" w:fill="D4D1EF"/>
          </w:tcPr>
          <w:p w14:paraId="64E16891" w14:textId="77777777" w:rsidR="0085008A" w:rsidRDefault="0085008A"/>
        </w:tc>
      </w:tr>
      <w:tr w:rsidR="0085008A" w14:paraId="6A1EFD87" w14:textId="77777777" w:rsidTr="00DF505B">
        <w:tc>
          <w:tcPr>
            <w:tcW w:w="2671" w:type="dxa"/>
            <w:shd w:val="clear" w:color="auto" w:fill="EDEDED" w:themeFill="accent3" w:themeFillTint="33"/>
          </w:tcPr>
          <w:p w14:paraId="247B8D11" w14:textId="2434D08B" w:rsidR="0085008A" w:rsidRDefault="0085008A">
            <w:r w:rsidRPr="0085008A">
              <w:t>C</w:t>
            </w:r>
            <w:r>
              <w:t xml:space="preserve"> </w:t>
            </w:r>
            <w:r w:rsidRPr="0085008A">
              <w:t>31.4. Rechercher et sélectionner des sources</w:t>
            </w:r>
          </w:p>
        </w:tc>
        <w:tc>
          <w:tcPr>
            <w:tcW w:w="2286" w:type="dxa"/>
            <w:shd w:val="clear" w:color="auto" w:fill="EDEDED" w:themeFill="accent3" w:themeFillTint="33"/>
          </w:tcPr>
          <w:p w14:paraId="32DF9666" w14:textId="77777777" w:rsidR="0085008A" w:rsidRDefault="0085008A"/>
        </w:tc>
        <w:tc>
          <w:tcPr>
            <w:tcW w:w="1559" w:type="dxa"/>
            <w:shd w:val="clear" w:color="auto" w:fill="EDEDED" w:themeFill="accent3" w:themeFillTint="33"/>
          </w:tcPr>
          <w:p w14:paraId="46999CFF" w14:textId="77777777" w:rsidR="0085008A" w:rsidRDefault="0085008A"/>
        </w:tc>
        <w:tc>
          <w:tcPr>
            <w:tcW w:w="1763" w:type="dxa"/>
            <w:shd w:val="clear" w:color="auto" w:fill="EDEDED" w:themeFill="accent3" w:themeFillTint="33"/>
          </w:tcPr>
          <w:p w14:paraId="0E28C997" w14:textId="77777777" w:rsidR="0085008A" w:rsidRDefault="0085008A"/>
        </w:tc>
        <w:tc>
          <w:tcPr>
            <w:tcW w:w="777" w:type="dxa"/>
            <w:shd w:val="clear" w:color="auto" w:fill="EDEDED" w:themeFill="accent3" w:themeFillTint="33"/>
          </w:tcPr>
          <w:p w14:paraId="4DCA6F5C" w14:textId="77777777" w:rsidR="0085008A" w:rsidRDefault="0085008A"/>
        </w:tc>
      </w:tr>
      <w:tr w:rsidR="0085008A" w14:paraId="17C786B8" w14:textId="77777777" w:rsidTr="00DF505B">
        <w:tc>
          <w:tcPr>
            <w:tcW w:w="2671" w:type="dxa"/>
            <w:shd w:val="clear" w:color="auto" w:fill="F9D0DE"/>
          </w:tcPr>
          <w:p w14:paraId="289B53D9" w14:textId="6B9F3F82" w:rsidR="0085008A" w:rsidRDefault="0085008A">
            <w:r>
              <w:t>C 33.1.</w:t>
            </w:r>
            <w:r w:rsidRPr="0085008A">
              <w:t xml:space="preserve"> Sélectionner d</w:t>
            </w:r>
            <w:r>
              <w:t>e</w:t>
            </w:r>
            <w:r w:rsidRPr="0085008A">
              <w:t>s informations</w:t>
            </w:r>
          </w:p>
        </w:tc>
        <w:tc>
          <w:tcPr>
            <w:tcW w:w="2286" w:type="dxa"/>
            <w:shd w:val="clear" w:color="auto" w:fill="F9D0DE"/>
          </w:tcPr>
          <w:p w14:paraId="69EC7350" w14:textId="77777777" w:rsidR="0085008A" w:rsidRDefault="0085008A"/>
        </w:tc>
        <w:tc>
          <w:tcPr>
            <w:tcW w:w="1559" w:type="dxa"/>
            <w:shd w:val="clear" w:color="auto" w:fill="F9D0DE"/>
          </w:tcPr>
          <w:p w14:paraId="2F10A8D8" w14:textId="77777777" w:rsidR="0085008A" w:rsidRDefault="0085008A"/>
        </w:tc>
        <w:tc>
          <w:tcPr>
            <w:tcW w:w="1763" w:type="dxa"/>
            <w:shd w:val="clear" w:color="auto" w:fill="F9D0DE"/>
          </w:tcPr>
          <w:p w14:paraId="2D2A25B6" w14:textId="77777777" w:rsidR="0085008A" w:rsidRDefault="0085008A"/>
        </w:tc>
        <w:tc>
          <w:tcPr>
            <w:tcW w:w="777" w:type="dxa"/>
            <w:shd w:val="clear" w:color="auto" w:fill="F9D0DE"/>
          </w:tcPr>
          <w:p w14:paraId="44F57648" w14:textId="77777777" w:rsidR="0085008A" w:rsidRDefault="0085008A"/>
        </w:tc>
      </w:tr>
      <w:tr w:rsidR="0085008A" w14:paraId="1DAB5D32" w14:textId="77777777" w:rsidTr="00DF505B">
        <w:tc>
          <w:tcPr>
            <w:tcW w:w="2671" w:type="dxa"/>
            <w:shd w:val="clear" w:color="auto" w:fill="F9D0DE"/>
          </w:tcPr>
          <w:p w14:paraId="1F8433E2" w14:textId="25977278" w:rsidR="0085008A" w:rsidRDefault="0085008A">
            <w:r w:rsidRPr="0085008A">
              <w:t>C</w:t>
            </w:r>
            <w:r>
              <w:t xml:space="preserve"> </w:t>
            </w:r>
            <w:r w:rsidRPr="0085008A">
              <w:t>33.2. Actualiser une base d'informations</w:t>
            </w:r>
          </w:p>
        </w:tc>
        <w:tc>
          <w:tcPr>
            <w:tcW w:w="2286" w:type="dxa"/>
            <w:shd w:val="clear" w:color="auto" w:fill="F9D0DE"/>
          </w:tcPr>
          <w:p w14:paraId="2DC7167B" w14:textId="77777777" w:rsidR="0085008A" w:rsidRDefault="0085008A"/>
        </w:tc>
        <w:tc>
          <w:tcPr>
            <w:tcW w:w="1559" w:type="dxa"/>
            <w:shd w:val="clear" w:color="auto" w:fill="F9D0DE"/>
          </w:tcPr>
          <w:p w14:paraId="49B63B0F" w14:textId="77777777" w:rsidR="0085008A" w:rsidRDefault="0085008A"/>
        </w:tc>
        <w:tc>
          <w:tcPr>
            <w:tcW w:w="1763" w:type="dxa"/>
            <w:shd w:val="clear" w:color="auto" w:fill="F9D0DE"/>
          </w:tcPr>
          <w:p w14:paraId="6F048823" w14:textId="77777777" w:rsidR="0085008A" w:rsidRDefault="0085008A"/>
        </w:tc>
        <w:tc>
          <w:tcPr>
            <w:tcW w:w="777" w:type="dxa"/>
            <w:shd w:val="clear" w:color="auto" w:fill="F9D0DE"/>
          </w:tcPr>
          <w:p w14:paraId="1BE790D1" w14:textId="77777777" w:rsidR="0085008A" w:rsidRDefault="0085008A"/>
        </w:tc>
      </w:tr>
      <w:tr w:rsidR="0085008A" w14:paraId="63C1AF83" w14:textId="77777777" w:rsidTr="00DF505B">
        <w:tc>
          <w:tcPr>
            <w:tcW w:w="2671" w:type="dxa"/>
            <w:shd w:val="clear" w:color="auto" w:fill="FFD5BD"/>
          </w:tcPr>
          <w:p w14:paraId="39E31F5F" w14:textId="162BA59C" w:rsidR="0085008A" w:rsidRDefault="0085008A">
            <w:r w:rsidRPr="0085008A">
              <w:t>C</w:t>
            </w:r>
            <w:r>
              <w:t xml:space="preserve"> </w:t>
            </w:r>
            <w:r w:rsidRPr="0085008A">
              <w:t>34.2</w:t>
            </w:r>
            <w:r>
              <w:t>.</w:t>
            </w:r>
            <w:r w:rsidRPr="0085008A">
              <w:t xml:space="preserve"> Participer à la sécurité d'un système d'information</w:t>
            </w:r>
          </w:p>
        </w:tc>
        <w:tc>
          <w:tcPr>
            <w:tcW w:w="2286" w:type="dxa"/>
            <w:shd w:val="clear" w:color="auto" w:fill="FFD5BD"/>
          </w:tcPr>
          <w:p w14:paraId="59374EDC" w14:textId="77777777" w:rsidR="0085008A" w:rsidRDefault="0085008A"/>
        </w:tc>
        <w:tc>
          <w:tcPr>
            <w:tcW w:w="1559" w:type="dxa"/>
            <w:shd w:val="clear" w:color="auto" w:fill="FFD5BD"/>
          </w:tcPr>
          <w:p w14:paraId="39D93579" w14:textId="77777777" w:rsidR="0085008A" w:rsidRDefault="0085008A"/>
        </w:tc>
        <w:tc>
          <w:tcPr>
            <w:tcW w:w="1763" w:type="dxa"/>
            <w:shd w:val="clear" w:color="auto" w:fill="FFD5BD"/>
          </w:tcPr>
          <w:p w14:paraId="5CE53DD8" w14:textId="77777777" w:rsidR="0085008A" w:rsidRDefault="0085008A"/>
        </w:tc>
        <w:tc>
          <w:tcPr>
            <w:tcW w:w="777" w:type="dxa"/>
            <w:shd w:val="clear" w:color="auto" w:fill="FFD5BD"/>
          </w:tcPr>
          <w:p w14:paraId="61826DF8" w14:textId="77777777" w:rsidR="0085008A" w:rsidRDefault="0085008A"/>
        </w:tc>
      </w:tr>
    </w:tbl>
    <w:p w14:paraId="53AE70A0" w14:textId="237D0BBE" w:rsidR="0085008A" w:rsidRDefault="0085008A"/>
    <w:p w14:paraId="0F384919" w14:textId="5BDCB00F" w:rsidR="0085008A" w:rsidRDefault="0085008A">
      <w:r>
        <w:t>Fiche projet (1 et 2)</w:t>
      </w:r>
    </w:p>
    <w:p w14:paraId="3C5B156D" w14:textId="0D51D89B" w:rsidR="0085008A" w:rsidRDefault="0085008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5008A" w14:paraId="64313404" w14:textId="77777777" w:rsidTr="0085008A">
        <w:tc>
          <w:tcPr>
            <w:tcW w:w="4528" w:type="dxa"/>
          </w:tcPr>
          <w:p w14:paraId="03783D5C" w14:textId="501D5049" w:rsidR="0085008A" w:rsidRDefault="0085008A" w:rsidP="0085008A">
            <w:pPr>
              <w:jc w:val="center"/>
            </w:pPr>
            <w:r>
              <w:t>Légende</w:t>
            </w:r>
          </w:p>
        </w:tc>
        <w:tc>
          <w:tcPr>
            <w:tcW w:w="4528" w:type="dxa"/>
          </w:tcPr>
          <w:p w14:paraId="36D6A97F" w14:textId="528BE425" w:rsidR="0085008A" w:rsidRDefault="0085008A" w:rsidP="0085008A">
            <w:pPr>
              <w:jc w:val="center"/>
            </w:pPr>
            <w:r>
              <w:t>Annexes</w:t>
            </w:r>
          </w:p>
        </w:tc>
      </w:tr>
      <w:tr w:rsidR="0085008A" w14:paraId="4039AB2F" w14:textId="77777777" w:rsidTr="0085008A">
        <w:tc>
          <w:tcPr>
            <w:tcW w:w="4528" w:type="dxa"/>
          </w:tcPr>
          <w:p w14:paraId="146C992D" w14:textId="1D2E59C0" w:rsidR="0085008A" w:rsidRDefault="0085008A" w:rsidP="0085008A">
            <w:pPr>
              <w:pStyle w:val="Paragraphedeliste"/>
              <w:numPr>
                <w:ilvl w:val="0"/>
                <w:numId w:val="1"/>
              </w:numPr>
            </w:pPr>
            <w:r>
              <w:t xml:space="preserve">Lieu </w:t>
            </w:r>
            <w:r>
              <w:t xml:space="preserve">: </w:t>
            </w:r>
          </w:p>
          <w:p w14:paraId="3F3F794A" w14:textId="77777777" w:rsidR="0085008A" w:rsidRDefault="0085008A" w:rsidP="0085008A">
            <w:r>
              <w:t xml:space="preserve">En établissement de formation : </w:t>
            </w:r>
            <w:r w:rsidRPr="00DF505B">
              <w:rPr>
                <w:highlight w:val="yellow"/>
              </w:rPr>
              <w:t>jaune</w:t>
            </w:r>
            <w:r>
              <w:t xml:space="preserve"> Stage (</w:t>
            </w:r>
            <w:r>
              <w:t>1ère</w:t>
            </w:r>
            <w:r>
              <w:t xml:space="preserve"> et 2ème année) : </w:t>
            </w:r>
            <w:r w:rsidRPr="00DF505B">
              <w:rPr>
                <w:b/>
                <w:bCs/>
                <w:color w:val="00B050"/>
              </w:rPr>
              <w:t>vert</w:t>
            </w:r>
            <w:r>
              <w:t xml:space="preserve"> </w:t>
            </w:r>
          </w:p>
          <w:p w14:paraId="4EA57736" w14:textId="1EEE83B5" w:rsidR="0085008A" w:rsidRDefault="0085008A" w:rsidP="0085008A">
            <w:r>
              <w:t xml:space="preserve">Autres : </w:t>
            </w:r>
            <w:r w:rsidRPr="00DF505B">
              <w:rPr>
                <w:color w:val="FF0000"/>
              </w:rPr>
              <w:t>rouge</w:t>
            </w:r>
          </w:p>
        </w:tc>
        <w:tc>
          <w:tcPr>
            <w:tcW w:w="4528" w:type="dxa"/>
          </w:tcPr>
          <w:p w14:paraId="06F45F83" w14:textId="77777777" w:rsidR="0085008A" w:rsidRDefault="0085008A">
            <w:r w:rsidRPr="0085008A">
              <w:t>Bilan et évaluation de stage (stage unique)</w:t>
            </w:r>
          </w:p>
          <w:p w14:paraId="3CDB32D3" w14:textId="4E5AA839" w:rsidR="0085008A" w:rsidRDefault="0085008A">
            <w:r w:rsidRPr="0085008A">
              <w:t>Fiche(s) projet</w:t>
            </w:r>
          </w:p>
        </w:tc>
      </w:tr>
    </w:tbl>
    <w:p w14:paraId="17EF7C44" w14:textId="77777777" w:rsidR="0085008A" w:rsidRDefault="0085008A"/>
    <w:p w14:paraId="3DC8BF96" w14:textId="596AB681" w:rsidR="0085008A" w:rsidRDefault="0085008A"/>
    <w:p w14:paraId="6DE86AF9" w14:textId="77777777" w:rsidR="0085008A" w:rsidRDefault="0085008A"/>
    <w:sectPr w:rsidR="0085008A" w:rsidSect="00233E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421C0"/>
    <w:multiLevelType w:val="hybridMultilevel"/>
    <w:tmpl w:val="390842B4"/>
    <w:lvl w:ilvl="0" w:tplc="E9A063A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8A"/>
    <w:rsid w:val="00233EC9"/>
    <w:rsid w:val="0085008A"/>
    <w:rsid w:val="00AB6A86"/>
    <w:rsid w:val="00D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3F159"/>
  <w15:chartTrackingRefBased/>
  <w15:docId w15:val="{16A50A81-31CA-1742-8B0D-6C67299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Corinne Bourdenet Vicaire</cp:lastModifiedBy>
  <cp:revision>2</cp:revision>
  <dcterms:created xsi:type="dcterms:W3CDTF">2023-09-03T10:25:00Z</dcterms:created>
  <dcterms:modified xsi:type="dcterms:W3CDTF">2023-09-03T10:36:00Z</dcterms:modified>
</cp:coreProperties>
</file>