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71D0" w14:textId="33D0960E" w:rsidR="001B45AB" w:rsidRPr="0012632A" w:rsidRDefault="00F85894" w:rsidP="0012632A">
      <w:pPr>
        <w:shd w:val="clear" w:color="auto" w:fill="FFFFFF"/>
        <w:ind w:firstLine="708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12632A">
        <w:rPr>
          <w:rFonts w:cstheme="minorHAnsi"/>
          <w:sz w:val="24"/>
          <w:szCs w:val="24"/>
        </w:rPr>
        <w:t>En tant que commissaire</w:t>
      </w:r>
      <w:r w:rsidR="00BC59E5" w:rsidRPr="0012632A">
        <w:rPr>
          <w:rFonts w:cstheme="minorHAnsi"/>
          <w:sz w:val="24"/>
          <w:szCs w:val="24"/>
        </w:rPr>
        <w:t xml:space="preserve"> d’exposition</w:t>
      </w:r>
      <w:r w:rsidRPr="0012632A">
        <w:rPr>
          <w:rFonts w:cstheme="minorHAnsi"/>
          <w:sz w:val="24"/>
          <w:szCs w:val="24"/>
        </w:rPr>
        <w:t xml:space="preserve"> d’œuvre artistique, je choisi d’exposé</w:t>
      </w:r>
      <w:r w:rsidR="00BC59E5" w:rsidRPr="0012632A">
        <w:rPr>
          <w:rFonts w:cstheme="minorHAnsi"/>
          <w:sz w:val="24"/>
          <w:szCs w:val="24"/>
        </w:rPr>
        <w:t xml:space="preserve"> </w:t>
      </w:r>
      <w:r w:rsidR="00BC59E5"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La Leçon d’Anatomie du Docteur </w:t>
      </w:r>
      <w:proofErr w:type="spellStart"/>
      <w:r w:rsidR="00BC59E5" w:rsidRPr="0012632A">
        <w:rPr>
          <w:rFonts w:cstheme="minorHAnsi"/>
          <w:sz w:val="24"/>
          <w:szCs w:val="24"/>
          <w:u w:val="single"/>
          <w:shd w:val="clear" w:color="auto" w:fill="FFFFFF"/>
        </w:rPr>
        <w:t>Nicolaes</w:t>
      </w:r>
      <w:proofErr w:type="spellEnd"/>
      <w:r w:rsidR="00BC59E5"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C59E5" w:rsidRPr="0012632A">
        <w:rPr>
          <w:rFonts w:cstheme="minorHAnsi"/>
          <w:sz w:val="24"/>
          <w:szCs w:val="24"/>
          <w:u w:val="single"/>
          <w:shd w:val="clear" w:color="auto" w:fill="FFFFFF"/>
        </w:rPr>
        <w:t>Tulp</w:t>
      </w:r>
      <w:proofErr w:type="spellEnd"/>
      <w:r w:rsidR="001B45AB" w:rsidRPr="0012632A">
        <w:rPr>
          <w:rFonts w:eastAsia="Times New Roman" w:cstheme="minorHAnsi"/>
          <w:sz w:val="24"/>
          <w:szCs w:val="24"/>
          <w:lang w:eastAsia="fr-FR"/>
        </w:rPr>
        <w:t xml:space="preserve"> a</w:t>
      </w:r>
      <w:r w:rsidR="00BC59E5" w:rsidRPr="0012632A">
        <w:rPr>
          <w:rFonts w:eastAsia="Times New Roman" w:cstheme="minorHAnsi"/>
          <w:sz w:val="24"/>
          <w:szCs w:val="24"/>
          <w:lang w:eastAsia="fr-FR"/>
        </w:rPr>
        <w:t xml:space="preserve">u musée de la </w:t>
      </w:r>
      <w:r w:rsidR="0012632A" w:rsidRPr="0012632A">
        <w:rPr>
          <w:rFonts w:eastAsia="Times New Roman" w:cstheme="minorHAnsi"/>
          <w:sz w:val="24"/>
          <w:szCs w:val="24"/>
          <w:lang w:eastAsia="fr-FR"/>
        </w:rPr>
        <w:t>Cour</w:t>
      </w:r>
      <w:r w:rsidR="0012632A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BC59E5" w:rsidRPr="0012632A">
        <w:rPr>
          <w:rFonts w:eastAsia="Times New Roman" w:cstheme="minorHAnsi"/>
          <w:sz w:val="24"/>
          <w:szCs w:val="24"/>
          <w:lang w:eastAsia="fr-FR"/>
        </w:rPr>
        <w:t xml:space="preserve">d’Or de Metz. En effet, cette œuvre </w:t>
      </w:r>
      <w:r w:rsidR="00D4484C" w:rsidRPr="0012632A">
        <w:rPr>
          <w:rFonts w:eastAsia="Times New Roman" w:cstheme="minorHAnsi"/>
          <w:sz w:val="24"/>
          <w:szCs w:val="24"/>
          <w:lang w:eastAsia="fr-FR"/>
        </w:rPr>
        <w:t xml:space="preserve">étant créée par Rembrandt en 1632, représente docteur </w:t>
      </w:r>
      <w:proofErr w:type="spellStart"/>
      <w:r w:rsidR="00D4484C" w:rsidRPr="0012632A">
        <w:rPr>
          <w:rFonts w:eastAsia="Times New Roman" w:cstheme="minorHAnsi"/>
          <w:sz w:val="24"/>
          <w:szCs w:val="24"/>
          <w:lang w:eastAsia="fr-FR"/>
        </w:rPr>
        <w:t>Tulp</w:t>
      </w:r>
      <w:proofErr w:type="spellEnd"/>
      <w:r w:rsidR="00D4484C" w:rsidRPr="0012632A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925F43">
        <w:rPr>
          <w:rFonts w:eastAsia="Times New Roman" w:cstheme="minorHAnsi"/>
          <w:sz w:val="24"/>
          <w:szCs w:val="24"/>
          <w:lang w:eastAsia="fr-FR"/>
        </w:rPr>
        <w:t xml:space="preserve">démontrant </w:t>
      </w:r>
      <w:r w:rsidR="00D4484C" w:rsidRPr="0012632A">
        <w:rPr>
          <w:rFonts w:cstheme="minorHAnsi"/>
          <w:color w:val="202124"/>
          <w:sz w:val="24"/>
          <w:szCs w:val="24"/>
          <w:shd w:val="clear" w:color="auto" w:fill="FFFFFF"/>
        </w:rPr>
        <w:t>l'action du muscle fléchisseur superficiel des doigts sur la flexion des articulations interphalangiennes proximales</w:t>
      </w:r>
      <w:r w:rsidR="00D4484C" w:rsidRPr="0012632A">
        <w:rPr>
          <w:rFonts w:cstheme="minorHAnsi"/>
          <w:color w:val="202124"/>
          <w:sz w:val="24"/>
          <w:szCs w:val="24"/>
          <w:shd w:val="clear" w:color="auto" w:fill="FFFFFF"/>
        </w:rPr>
        <w:t>. C’est un tableau d’environ 1,7 x 2,16 mètres qui convient pour être exposer dans la salle du deuxième étage du musée, où précédemment les œuvres d’un artiste asiatique ont étaient exposées temporellement.</w:t>
      </w:r>
      <w:r w:rsidR="001415D7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Ce qui est important lors de cette exposition étant également temporelle (du 5 au 25 juillet 2022) est le fait de théâtraliser la mise en scène. </w:t>
      </w:r>
    </w:p>
    <w:p w14:paraId="22296046" w14:textId="385CFE52" w:rsidR="001B45AB" w:rsidRPr="0012632A" w:rsidRDefault="001B45AB" w:rsidP="001B45AB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2632A">
        <w:rPr>
          <w:noProof/>
          <w:sz w:val="24"/>
          <w:szCs w:val="24"/>
        </w:rPr>
        <w:drawing>
          <wp:inline distT="0" distB="0" distL="0" distR="0" wp14:anchorId="2EF266E1" wp14:editId="283AFC46">
            <wp:extent cx="5760720" cy="3325495"/>
            <wp:effectExtent l="0" t="0" r="0" b="8255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614C" w14:textId="13F82655" w:rsidR="00F923FE" w:rsidRPr="0012632A" w:rsidRDefault="001415D7" w:rsidP="00BC59E5">
      <w:pPr>
        <w:shd w:val="clear" w:color="auto" w:fill="FFFFFF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Ce tableau me fait 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penser à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une partie d’une pièce de théâtre. On aurait dit que les </w:t>
      </w:r>
      <w:r w:rsidR="0012632A" w:rsidRPr="0012632A">
        <w:rPr>
          <w:rFonts w:cstheme="minorHAnsi"/>
          <w:color w:val="202124"/>
          <w:sz w:val="24"/>
          <w:szCs w:val="24"/>
          <w:shd w:val="clear" w:color="auto" w:fill="FFFFFF"/>
        </w:rPr>
        <w:t>personnages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du tableau sont entrain de jouer leurs rôles pour mettre en scène </w:t>
      </w:r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>l’histoire qui veut être narrée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 xml:space="preserve"> par </w:t>
      </w:r>
      <w:proofErr w:type="spellStart"/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Rambrandt</w:t>
      </w:r>
      <w:proofErr w:type="spellEnd"/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. </w:t>
      </w:r>
      <w:r w:rsidR="0012632A" w:rsidRPr="0012632A">
        <w:rPr>
          <w:rFonts w:cstheme="minorHAnsi"/>
          <w:color w:val="202124"/>
          <w:sz w:val="24"/>
          <w:szCs w:val="24"/>
          <w:shd w:val="clear" w:color="auto" w:fill="FFFFFF"/>
        </w:rPr>
        <w:t>Cependant</w:t>
      </w:r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>, je choisi de placé des r</w:t>
      </w:r>
      <w:r w:rsidR="0012632A">
        <w:rPr>
          <w:rFonts w:cstheme="minorHAnsi"/>
          <w:color w:val="202124"/>
          <w:sz w:val="24"/>
          <w:szCs w:val="24"/>
          <w:shd w:val="clear" w:color="auto" w:fill="FFFFFF"/>
        </w:rPr>
        <w:t>i</w:t>
      </w:r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>deaux « rouge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» </w:t>
      </w:r>
      <w:r w:rsidR="00925F43" w:rsidRPr="0012632A">
        <w:rPr>
          <w:rFonts w:cstheme="minorHAnsi"/>
          <w:color w:val="202124"/>
          <w:sz w:val="24"/>
          <w:szCs w:val="24"/>
          <w:shd w:val="clear" w:color="auto" w:fill="FFFFFF"/>
        </w:rPr>
        <w:t>(pour</w:t>
      </w:r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faire référence à une salle de spectacle), puis j’ajouterai des chaises juste en face de l’œuvre </w:t>
      </w:r>
      <w:proofErr w:type="gramStart"/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>( à</w:t>
      </w:r>
      <w:proofErr w:type="gramEnd"/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une distance de 2,7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mètre</w:t>
      </w:r>
      <w:r w:rsidR="00644E85">
        <w:rPr>
          <w:rFonts w:cstheme="minorHAnsi"/>
          <w:color w:val="202124"/>
          <w:sz w:val="24"/>
          <w:szCs w:val="24"/>
          <w:shd w:val="clear" w:color="auto" w:fill="FFFFFF"/>
        </w:rPr>
        <w:t xml:space="preserve">s </w:t>
      </w:r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>). De plus, j’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exposerai</w:t>
      </w:r>
      <w:r w:rsidR="00716C93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quelques portraits peints par l’artiste, ça sera comme si ce sont les portraits des acteurs dans le tableau. Et enfin je choisirai de peintre le mur en vert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(foncé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) qui est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la couleur complémentaire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du rouge (les rideaux), et qui fera ressortir la partie ou le tableau est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théâtralisé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avec les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rideaux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. Les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chaises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auront leurs couleurs </w:t>
      </w:r>
      <w:proofErr w:type="gramStart"/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>d’origine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(</w:t>
      </w:r>
      <w:proofErr w:type="gramEnd"/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le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bois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)</w:t>
      </w:r>
      <w:r w:rsidR="00F923FE" w:rsidRPr="0012632A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2879B7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Je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projetterais</w:t>
      </w:r>
      <w:r w:rsidR="002879B7"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une source lumineuse sur le tableau pour faire attirer l’attention du spectateur sur l’œuvre. </w:t>
      </w:r>
    </w:p>
    <w:p w14:paraId="78053797" w14:textId="0E0C9E9C" w:rsidR="00F85894" w:rsidRPr="0012632A" w:rsidRDefault="00F923FE" w:rsidP="006B2CAC">
      <w:pPr>
        <w:shd w:val="clear" w:color="auto" w:fill="FFFFFF"/>
        <w:rPr>
          <w:rFonts w:cstheme="minorHAnsi"/>
          <w:sz w:val="24"/>
          <w:szCs w:val="24"/>
          <w:u w:val="single"/>
          <w:shd w:val="clear" w:color="auto" w:fill="FFFFFF"/>
        </w:rPr>
      </w:pP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>Ainsi, ce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 xml:space="preserve"> modèle d’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exposition 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(théâtralisé) fera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également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rappe</w:t>
      </w:r>
      <w:r w:rsidR="00644E85">
        <w:rPr>
          <w:rFonts w:cstheme="minorHAnsi"/>
          <w:color w:val="202124"/>
          <w:sz w:val="24"/>
          <w:szCs w:val="24"/>
          <w:shd w:val="clear" w:color="auto" w:fill="FFFFFF"/>
        </w:rPr>
        <w:t xml:space="preserve">l 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>à la période du baroque, où l’œuvre à était créée</w:t>
      </w:r>
      <w:r w:rsidR="00925F43">
        <w:rPr>
          <w:rFonts w:cstheme="minorHAnsi"/>
          <w:color w:val="202124"/>
          <w:sz w:val="24"/>
          <w:szCs w:val="24"/>
          <w:shd w:val="clear" w:color="auto" w:fill="FFFFFF"/>
        </w:rPr>
        <w:t>. M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ais aussi juste au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rez-</w:t>
      </w:r>
      <w:r w:rsidR="00644E85">
        <w:rPr>
          <w:rFonts w:cstheme="minorHAnsi"/>
          <w:color w:val="202124"/>
          <w:sz w:val="24"/>
          <w:szCs w:val="24"/>
          <w:shd w:val="clear" w:color="auto" w:fill="FFFFFF"/>
        </w:rPr>
        <w:t>d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e-</w:t>
      </w:r>
      <w:r w:rsidR="00644E85">
        <w:rPr>
          <w:rFonts w:cstheme="minorHAnsi"/>
          <w:color w:val="202124"/>
          <w:sz w:val="24"/>
          <w:szCs w:val="24"/>
          <w:shd w:val="clear" w:color="auto" w:fill="FFFFFF"/>
        </w:rPr>
        <w:t>c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haussée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de ce musée, ce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trouve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des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expositions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 de squelettes qui pourrait faire un lien avec l’œuvre de </w:t>
      </w:r>
      <w:r w:rsidR="00644E85" w:rsidRPr="0012632A">
        <w:rPr>
          <w:rFonts w:cstheme="minorHAnsi"/>
          <w:color w:val="202124"/>
          <w:sz w:val="24"/>
          <w:szCs w:val="24"/>
          <w:shd w:val="clear" w:color="auto" w:fill="FFFFFF"/>
        </w:rPr>
        <w:t>Rembrandts</w:t>
      </w:r>
      <w:r w:rsidRPr="0012632A">
        <w:rPr>
          <w:rFonts w:cstheme="minorHAnsi"/>
          <w:color w:val="202124"/>
          <w:sz w:val="24"/>
          <w:szCs w:val="24"/>
          <w:shd w:val="clear" w:color="auto" w:fill="FFFFFF"/>
        </w:rPr>
        <w:t xml:space="preserve">. En effet, le spectateur pourrait penser que ce cadavre présent dans </w:t>
      </w:r>
      <w:r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La Leçon d’Anatomie du Docteur </w:t>
      </w:r>
      <w:proofErr w:type="spellStart"/>
      <w:r w:rsidRPr="0012632A">
        <w:rPr>
          <w:rFonts w:cstheme="minorHAnsi"/>
          <w:sz w:val="24"/>
          <w:szCs w:val="24"/>
          <w:u w:val="single"/>
          <w:shd w:val="clear" w:color="auto" w:fill="FFFFFF"/>
        </w:rPr>
        <w:t>Nicolaes</w:t>
      </w:r>
      <w:proofErr w:type="spellEnd"/>
      <w:r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2632A">
        <w:rPr>
          <w:rFonts w:cstheme="minorHAnsi"/>
          <w:sz w:val="24"/>
          <w:szCs w:val="24"/>
          <w:u w:val="single"/>
          <w:shd w:val="clear" w:color="auto" w:fill="FFFFFF"/>
        </w:rPr>
        <w:t>Tulp</w:t>
      </w:r>
      <w:proofErr w:type="spellEnd"/>
      <w:r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  <w:r w:rsidRPr="0012632A">
        <w:rPr>
          <w:rFonts w:cstheme="minorHAnsi"/>
          <w:sz w:val="24"/>
          <w:szCs w:val="24"/>
          <w:shd w:val="clear" w:color="auto" w:fill="FFFFFF"/>
        </w:rPr>
        <w:t xml:space="preserve">deviendra un jour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comme</w:t>
      </w:r>
      <w:r w:rsidRPr="0012632A">
        <w:rPr>
          <w:rFonts w:cstheme="minorHAnsi"/>
          <w:sz w:val="24"/>
          <w:szCs w:val="24"/>
          <w:shd w:val="clear" w:color="auto" w:fill="FFFFFF"/>
        </w:rPr>
        <w:t xml:space="preserve"> le squelette</w:t>
      </w:r>
      <w:r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>de l’étage d’en dessous. C’est comme si, non pas les œuvres mais la théâtralisation de ces deux œuvres montrait une vanité</w:t>
      </w:r>
      <w:r w:rsidR="006B2CAC"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. </w:t>
      </w:r>
    </w:p>
    <w:p w14:paraId="7E25E398" w14:textId="71D4BB2E" w:rsidR="001B45AB" w:rsidRPr="0012632A" w:rsidRDefault="00644E85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  <w:r w:rsidRPr="0012632A">
        <w:rPr>
          <w:rFonts w:cstheme="minorHAnsi"/>
          <w:sz w:val="24"/>
          <w:szCs w:val="24"/>
          <w:shd w:val="clear" w:color="auto" w:fill="FFFFFF"/>
        </w:rPr>
        <w:lastRenderedPageBreak/>
        <w:t>Quant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E15B9" w:rsidRPr="0012632A">
        <w:rPr>
          <w:rFonts w:cstheme="minorHAnsi"/>
          <w:sz w:val="24"/>
          <w:szCs w:val="24"/>
          <w:shd w:val="clear" w:color="auto" w:fill="FFFFFF"/>
        </w:rPr>
        <w:t>aux spectateurs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, ils </w:t>
      </w:r>
      <w:r w:rsidRPr="0012632A">
        <w:rPr>
          <w:rFonts w:cstheme="minorHAnsi"/>
          <w:sz w:val="24"/>
          <w:szCs w:val="24"/>
          <w:shd w:val="clear" w:color="auto" w:fill="FFFFFF"/>
        </w:rPr>
        <w:t>deviendront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 contemplatifs et </w:t>
      </w:r>
      <w:r w:rsidRPr="0012632A">
        <w:rPr>
          <w:rFonts w:cstheme="minorHAnsi"/>
          <w:sz w:val="24"/>
          <w:szCs w:val="24"/>
          <w:shd w:val="clear" w:color="auto" w:fill="FFFFFF"/>
        </w:rPr>
        <w:t>inactifs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 en raison de la présence de chaise. Mais ils ne seront pas </w:t>
      </w:r>
      <w:r w:rsidRPr="0012632A">
        <w:rPr>
          <w:rFonts w:cstheme="minorHAnsi"/>
          <w:sz w:val="24"/>
          <w:szCs w:val="24"/>
          <w:shd w:val="clear" w:color="auto" w:fill="FFFFFF"/>
        </w:rPr>
        <w:t>immergés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 car l’</w:t>
      </w:r>
      <w:r w:rsidRPr="0012632A">
        <w:rPr>
          <w:rFonts w:cstheme="minorHAnsi"/>
          <w:sz w:val="24"/>
          <w:szCs w:val="24"/>
          <w:shd w:val="clear" w:color="auto" w:fill="FFFFFF"/>
        </w:rPr>
        <w:t>œ</w:t>
      </w:r>
      <w:r>
        <w:rPr>
          <w:rFonts w:cstheme="minorHAnsi"/>
          <w:sz w:val="24"/>
          <w:szCs w:val="24"/>
          <w:shd w:val="clear" w:color="auto" w:fill="FFFFFF"/>
        </w:rPr>
        <w:t>u</w:t>
      </w:r>
      <w:r w:rsidRPr="0012632A">
        <w:rPr>
          <w:rFonts w:cstheme="minorHAnsi"/>
          <w:sz w:val="24"/>
          <w:szCs w:val="24"/>
          <w:shd w:val="clear" w:color="auto" w:fill="FFFFFF"/>
        </w:rPr>
        <w:t>vre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 de </w:t>
      </w:r>
      <w:r w:rsidRPr="0012632A">
        <w:rPr>
          <w:rFonts w:cstheme="minorHAnsi"/>
          <w:sz w:val="24"/>
          <w:szCs w:val="24"/>
          <w:shd w:val="clear" w:color="auto" w:fill="FFFFFF"/>
        </w:rPr>
        <w:t>Rembrandt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 partagera la salle avec d’autres œuvre d’un autre artiste, donc juste en face, il y a aura des œuvres </w:t>
      </w:r>
      <w:r w:rsidRPr="0012632A">
        <w:rPr>
          <w:rFonts w:cstheme="minorHAnsi"/>
          <w:sz w:val="24"/>
          <w:szCs w:val="24"/>
          <w:shd w:val="clear" w:color="auto" w:fill="FFFFFF"/>
        </w:rPr>
        <w:t>différentes</w:t>
      </w:r>
      <w:r w:rsidR="006B2CAC" w:rsidRPr="0012632A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2944383D" w14:textId="58522C22" w:rsidR="001B45AB" w:rsidRPr="0012632A" w:rsidRDefault="001B45AB" w:rsidP="001B45AB">
      <w:pPr>
        <w:shd w:val="clear" w:color="auto" w:fill="FFFFFF"/>
        <w:jc w:val="center"/>
        <w:rPr>
          <w:rFonts w:cstheme="minorHAnsi"/>
          <w:sz w:val="24"/>
          <w:szCs w:val="24"/>
          <w:shd w:val="clear" w:color="auto" w:fill="FFFFFF"/>
        </w:rPr>
      </w:pPr>
      <w:r w:rsidRPr="0012632A">
        <w:rPr>
          <w:rFonts w:cstheme="minorHAnsi"/>
          <w:noProof/>
          <w:sz w:val="24"/>
          <w:szCs w:val="24"/>
        </w:rPr>
        <w:drawing>
          <wp:inline distT="0" distB="0" distL="0" distR="0" wp14:anchorId="08A4B1B2" wp14:editId="3F80E007">
            <wp:extent cx="5760720" cy="34169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C5B50" w14:textId="6D72DCAF" w:rsidR="002879B7" w:rsidRDefault="002879B7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  <w:r w:rsidRPr="0012632A">
        <w:rPr>
          <w:rFonts w:cstheme="minorHAnsi"/>
          <w:sz w:val="24"/>
          <w:szCs w:val="24"/>
          <w:shd w:val="clear" w:color="auto" w:fill="FFFFFF"/>
        </w:rPr>
        <w:t>Enfin l’</w:t>
      </w:r>
      <w:r w:rsidR="00644E85">
        <w:rPr>
          <w:rFonts w:cstheme="minorHAnsi"/>
          <w:sz w:val="24"/>
          <w:szCs w:val="24"/>
          <w:shd w:val="clear" w:color="auto" w:fill="FFFFFF"/>
        </w:rPr>
        <w:t>œu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vre</w:t>
      </w:r>
      <w:r w:rsidRPr="0012632A">
        <w:rPr>
          <w:rFonts w:cstheme="minorHAnsi"/>
          <w:sz w:val="24"/>
          <w:szCs w:val="24"/>
          <w:shd w:val="clear" w:color="auto" w:fill="FFFFFF"/>
        </w:rPr>
        <w:t xml:space="preserve"> sera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accompagné</w:t>
      </w:r>
      <w:r w:rsidRPr="0012632A">
        <w:rPr>
          <w:rFonts w:cstheme="minorHAnsi"/>
          <w:sz w:val="24"/>
          <w:szCs w:val="24"/>
          <w:shd w:val="clear" w:color="auto" w:fill="FFFFFF"/>
        </w:rPr>
        <w:t xml:space="preserve"> d</w:t>
      </w:r>
      <w:r w:rsidR="00644E85">
        <w:rPr>
          <w:rFonts w:cstheme="minorHAnsi"/>
          <w:sz w:val="24"/>
          <w:szCs w:val="24"/>
          <w:shd w:val="clear" w:color="auto" w:fill="FFFFFF"/>
        </w:rPr>
        <w:t>’</w:t>
      </w:r>
      <w:r w:rsidRPr="0012632A">
        <w:rPr>
          <w:rFonts w:cstheme="minorHAnsi"/>
          <w:sz w:val="24"/>
          <w:szCs w:val="24"/>
          <w:shd w:val="clear" w:color="auto" w:fill="FFFFFF"/>
        </w:rPr>
        <w:t xml:space="preserve">un cartel qui comporte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des informations</w:t>
      </w:r>
      <w:r w:rsidRPr="0012632A">
        <w:rPr>
          <w:rFonts w:cstheme="minorHAnsi"/>
          <w:sz w:val="24"/>
          <w:szCs w:val="24"/>
          <w:shd w:val="clear" w:color="auto" w:fill="FFFFFF"/>
        </w:rPr>
        <w:t xml:space="preserve"> sur la création de celle-ci et son artiste. </w:t>
      </w:r>
    </w:p>
    <w:p w14:paraId="6A892639" w14:textId="77777777" w:rsidR="00925F43" w:rsidRDefault="00925F43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14:paraId="281378DD" w14:textId="3D2370AC" w:rsidR="00644E85" w:rsidRDefault="00925F43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  <w:r w:rsidRPr="00644E85">
        <w:rPr>
          <w:rFonts w:cstheme="minorHAnsi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59D8BA" wp14:editId="13A64A08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901950" cy="14287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6F26" w14:textId="47B77421" w:rsidR="00644E85" w:rsidRDefault="00644E85" w:rsidP="00644E85">
                            <w:r w:rsidRPr="00644E85">
                              <w:rPr>
                                <w:b/>
                                <w:bCs/>
                                <w:u w:val="single"/>
                              </w:rPr>
                              <w:t xml:space="preserve">La Leçon d’Anatomie du Docteur </w:t>
                            </w:r>
                            <w:proofErr w:type="spellStart"/>
                            <w:r w:rsidRPr="00644E85">
                              <w:rPr>
                                <w:b/>
                                <w:bCs/>
                                <w:u w:val="single"/>
                              </w:rPr>
                              <w:t>Nicolaes</w:t>
                            </w:r>
                            <w:proofErr w:type="spellEnd"/>
                            <w:r w:rsidRPr="00644E85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44E85">
                              <w:rPr>
                                <w:b/>
                                <w:bCs/>
                                <w:u w:val="single"/>
                              </w:rPr>
                              <w:t>Tulp</w:t>
                            </w:r>
                            <w:proofErr w:type="spellEnd"/>
                          </w:p>
                          <w:p w14:paraId="2706E444" w14:textId="347A0250" w:rsidR="00644E85" w:rsidRPr="00644E85" w:rsidRDefault="00644E85" w:rsidP="00644E85">
                            <w:r>
                              <w:t>R</w:t>
                            </w:r>
                            <w:r>
                              <w:t>embrandt</w:t>
                            </w:r>
                          </w:p>
                          <w:p w14:paraId="13FC2C3E" w14:textId="69CB7D6C" w:rsidR="00644E85" w:rsidRDefault="00925F43" w:rsidP="00644E85">
                            <w:r>
                              <w:t>Huile</w:t>
                            </w:r>
                            <w:r w:rsidR="00644E85">
                              <w:t xml:space="preserve"> sur toile</w:t>
                            </w:r>
                          </w:p>
                          <w:p w14:paraId="32B3C820" w14:textId="4C39FB1F" w:rsidR="00644E85" w:rsidRDefault="00644E85" w:rsidP="00644E85">
                            <w:r>
                              <w:t>216,5 x 169,5 cm</w:t>
                            </w:r>
                          </w:p>
                          <w:p w14:paraId="152E14AD" w14:textId="2D97C6D6" w:rsidR="00644E85" w:rsidRDefault="00644E85" w:rsidP="00644E85">
                            <w:r>
                              <w:t>1632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9D8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.4pt;width:228.5pt;height:11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">
                <v:textbox>
                  <w:txbxContent>
                    <w:p w14:paraId="75896F26" w14:textId="47B77421" w:rsidR="00644E85" w:rsidRDefault="00644E85" w:rsidP="00644E85">
                      <w:r w:rsidRPr="00644E85">
                        <w:rPr>
                          <w:b/>
                          <w:bCs/>
                          <w:u w:val="single"/>
                        </w:rPr>
                        <w:t xml:space="preserve">La Leçon d’Anatomie du Docteur </w:t>
                      </w:r>
                      <w:proofErr w:type="spellStart"/>
                      <w:r w:rsidRPr="00644E85">
                        <w:rPr>
                          <w:b/>
                          <w:bCs/>
                          <w:u w:val="single"/>
                        </w:rPr>
                        <w:t>Nicolaes</w:t>
                      </w:r>
                      <w:proofErr w:type="spellEnd"/>
                      <w:r w:rsidRPr="00644E85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Pr="00644E85">
                        <w:rPr>
                          <w:b/>
                          <w:bCs/>
                          <w:u w:val="single"/>
                        </w:rPr>
                        <w:t>Tulp</w:t>
                      </w:r>
                      <w:proofErr w:type="spellEnd"/>
                    </w:p>
                    <w:p w14:paraId="2706E444" w14:textId="347A0250" w:rsidR="00644E85" w:rsidRPr="00644E85" w:rsidRDefault="00644E85" w:rsidP="00644E85">
                      <w:r>
                        <w:t>R</w:t>
                      </w:r>
                      <w:r>
                        <w:t>embrandt</w:t>
                      </w:r>
                    </w:p>
                    <w:p w14:paraId="13FC2C3E" w14:textId="69CB7D6C" w:rsidR="00644E85" w:rsidRDefault="00925F43" w:rsidP="00644E85">
                      <w:r>
                        <w:t>Huile</w:t>
                      </w:r>
                      <w:r w:rsidR="00644E85">
                        <w:t xml:space="preserve"> sur toile</w:t>
                      </w:r>
                    </w:p>
                    <w:p w14:paraId="32B3C820" w14:textId="4C39FB1F" w:rsidR="00644E85" w:rsidRDefault="00644E85" w:rsidP="00644E85">
                      <w:r>
                        <w:t>216,5 x 169,5 cm</w:t>
                      </w:r>
                    </w:p>
                    <w:p w14:paraId="152E14AD" w14:textId="2D97C6D6" w:rsidR="00644E85" w:rsidRDefault="00644E85" w:rsidP="00644E85">
                      <w:r>
                        <w:t>1632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11A8D8" w14:textId="2F21C230" w:rsidR="00644E85" w:rsidRDefault="00644E85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14:paraId="3F78BD05" w14:textId="15F8358C" w:rsidR="00644E85" w:rsidRDefault="00644E85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14:paraId="6E2B0656" w14:textId="039F0037" w:rsidR="00644E85" w:rsidRDefault="00644E85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14:paraId="05D7F1E9" w14:textId="48682666" w:rsidR="00644E85" w:rsidRDefault="00644E85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14:paraId="50AB8E6E" w14:textId="77777777" w:rsidR="00644E85" w:rsidRPr="0012632A" w:rsidRDefault="00644E85" w:rsidP="006B2CA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14:paraId="0BB3CD80" w14:textId="307D3A9F" w:rsidR="001B45AB" w:rsidRPr="0012632A" w:rsidRDefault="001B45AB" w:rsidP="002E15B9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  <w:r w:rsidRPr="0012632A">
        <w:rPr>
          <w:rFonts w:cstheme="minorHAnsi"/>
          <w:sz w:val="24"/>
          <w:szCs w:val="24"/>
          <w:shd w:val="clear" w:color="auto" w:fill="FFFFFF"/>
        </w:rPr>
        <w:t>Il est possible de faire une comparaison entre cette œuvre est</w:t>
      </w:r>
      <w:r w:rsidR="00372D63" w:rsidRPr="0012632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2D63" w:rsidRPr="0012632A">
        <w:rPr>
          <w:rFonts w:cstheme="minorHAnsi"/>
          <w:sz w:val="24"/>
          <w:szCs w:val="24"/>
          <w:u w:val="single"/>
          <w:shd w:val="clear" w:color="auto" w:fill="FFFFFF"/>
        </w:rPr>
        <w:t xml:space="preserve">Judith est Holopherne </w:t>
      </w:r>
      <w:r w:rsidR="00372D63" w:rsidRPr="0012632A">
        <w:rPr>
          <w:rFonts w:cstheme="minorHAnsi"/>
          <w:sz w:val="24"/>
          <w:szCs w:val="24"/>
          <w:shd w:val="clear" w:color="auto" w:fill="FFFFFF"/>
        </w:rPr>
        <w:t xml:space="preserve">de Caravage qui a été aussi peint pendant la période du baroque. Ce tableau est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peint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 avec de la peinture à l’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hui</w:t>
      </w:r>
      <w:r w:rsidR="00644E85">
        <w:rPr>
          <w:rFonts w:cstheme="minorHAnsi"/>
          <w:sz w:val="24"/>
          <w:szCs w:val="24"/>
          <w:shd w:val="clear" w:color="auto" w:fill="FFFFFF"/>
        </w:rPr>
        <w:t xml:space="preserve">le 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sur une toile </w:t>
      </w:r>
      <w:r w:rsidR="00372D63" w:rsidRPr="0012632A">
        <w:rPr>
          <w:rFonts w:cstheme="minorHAnsi"/>
          <w:sz w:val="24"/>
          <w:szCs w:val="24"/>
          <w:shd w:val="clear" w:color="auto" w:fill="FFFFFF"/>
        </w:rPr>
        <w:t>de dimension 1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,73 x 1,44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mètres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. Ainsi, bien que l’artiste de ces deux œuvres soit </w:t>
      </w:r>
      <w:r w:rsidR="00925F43" w:rsidRPr="0012632A">
        <w:rPr>
          <w:rFonts w:cstheme="minorHAnsi"/>
          <w:sz w:val="24"/>
          <w:szCs w:val="24"/>
          <w:shd w:val="clear" w:color="auto" w:fill="FFFFFF"/>
        </w:rPr>
        <w:t>différent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, la technique, le mouvement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(et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 même </w:t>
      </w:r>
      <w:r w:rsidR="00925F43" w:rsidRPr="0012632A">
        <w:rPr>
          <w:rFonts w:cstheme="minorHAnsi"/>
          <w:sz w:val="24"/>
          <w:szCs w:val="24"/>
          <w:shd w:val="clear" w:color="auto" w:fill="FFFFFF"/>
        </w:rPr>
        <w:t>les dimensions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 à peu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près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) sont très </w:t>
      </w:r>
      <w:r w:rsidR="002E15B9">
        <w:rPr>
          <w:rFonts w:cstheme="minorHAnsi"/>
          <w:sz w:val="24"/>
          <w:szCs w:val="24"/>
          <w:shd w:val="clear" w:color="auto" w:fill="FFFFFF"/>
        </w:rPr>
        <w:t>proches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. En outre, les deux tableaux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évoquent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 la mort (présence d’un homme mort au milieu de l’œuvre) mais de </w:t>
      </w:r>
      <w:r w:rsidR="00644E85" w:rsidRPr="0012632A">
        <w:rPr>
          <w:rFonts w:cstheme="minorHAnsi"/>
          <w:sz w:val="24"/>
          <w:szCs w:val="24"/>
          <w:shd w:val="clear" w:color="auto" w:fill="FFFFFF"/>
        </w:rPr>
        <w:t>différentes manières</w:t>
      </w:r>
      <w:r w:rsidR="0012632A" w:rsidRPr="0012632A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55C10376" w14:textId="77777777" w:rsidR="002879B7" w:rsidRPr="0012632A" w:rsidRDefault="002879B7" w:rsidP="006B2CAC">
      <w:pPr>
        <w:shd w:val="clear" w:color="auto" w:fill="FFFFFF"/>
        <w:rPr>
          <w:rFonts w:cstheme="minorHAnsi"/>
          <w:color w:val="202124"/>
          <w:sz w:val="24"/>
          <w:szCs w:val="24"/>
          <w:shd w:val="clear" w:color="auto" w:fill="FFFFFF"/>
        </w:rPr>
      </w:pPr>
    </w:p>
    <w:sectPr w:rsidR="002879B7" w:rsidRPr="0012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94"/>
    <w:rsid w:val="0012632A"/>
    <w:rsid w:val="001415D7"/>
    <w:rsid w:val="001B45AB"/>
    <w:rsid w:val="002879B7"/>
    <w:rsid w:val="002E15B9"/>
    <w:rsid w:val="00372D63"/>
    <w:rsid w:val="00644E85"/>
    <w:rsid w:val="006B2CAC"/>
    <w:rsid w:val="00716C93"/>
    <w:rsid w:val="00925F43"/>
    <w:rsid w:val="00BC59E5"/>
    <w:rsid w:val="00D4484C"/>
    <w:rsid w:val="00F85894"/>
    <w:rsid w:val="00F9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CEEA"/>
  <w15:chartTrackingRefBased/>
  <w15:docId w15:val="{041F690B-BFD4-4124-8F6C-1AF838FA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C954-952C-4CCE-AEF8-C6184F2F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ASHOURI Narges</dc:creator>
  <cp:keywords/>
  <dc:description/>
  <cp:lastModifiedBy>ASHOURI Narges</cp:lastModifiedBy>
  <cp:revision>1</cp:revision>
  <dcterms:created xsi:type="dcterms:W3CDTF">2022-06-06T18:20:00Z</dcterms:created>
  <dcterms:modified xsi:type="dcterms:W3CDTF">2022-06-06T19:36:00Z</dcterms:modified>
</cp:coreProperties>
</file>