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38"/>
        <w:gridCol w:w="558"/>
        <w:gridCol w:w="558"/>
        <w:gridCol w:w="558"/>
        <w:gridCol w:w="590"/>
        <w:gridCol w:w="558"/>
      </w:tblGrid>
      <w:tr w:rsidR="00477543" w14:paraId="22752AAA" w14:textId="77777777" w:rsidTr="00B746D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B746D7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38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746D7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B2630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B2630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6884043" w:rsidR="00477543" w:rsidRPr="00620CA2" w:rsidRDefault="00477543" w:rsidP="00B746D7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746D7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90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B746D7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746D7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746D7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B746D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38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746D7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746D7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746D7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B746D7" w:rsidRDefault="00737727" w:rsidP="00B746D7">
            <w:pPr>
              <w:spacing w:before="55"/>
              <w:rPr>
                <w:iCs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B746D7" w:rsidRDefault="00737727" w:rsidP="00B746D7">
            <w:pPr>
              <w:spacing w:before="55"/>
              <w:rPr>
                <w:iCs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B746D7" w:rsidRDefault="00737727" w:rsidP="00B746D7">
            <w:pPr>
              <w:spacing w:before="55"/>
              <w:rPr>
                <w:iCs/>
                <w:lang w:val="fr-FR"/>
              </w:rPr>
            </w:pPr>
          </w:p>
        </w:tc>
        <w:tc>
          <w:tcPr>
            <w:tcW w:w="590" w:type="dxa"/>
          </w:tcPr>
          <w:p w14:paraId="5400BDE0" w14:textId="215B84BD" w:rsidR="00737727" w:rsidRPr="00B746D7" w:rsidRDefault="00B746D7" w:rsidP="00B746D7">
            <w:pPr>
              <w:spacing w:before="55"/>
              <w:rPr>
                <w:iCs/>
                <w:lang w:val="fr-FR"/>
              </w:rPr>
            </w:pPr>
            <w:r w:rsidRPr="00B746D7">
              <w:rPr>
                <w:iCs/>
                <w:sz w:val="72"/>
                <w:szCs w:val="72"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B746D7" w:rsidRDefault="00737727" w:rsidP="00B746D7">
            <w:pPr>
              <w:spacing w:before="55"/>
              <w:rPr>
                <w:iCs/>
                <w:lang w:val="fr-FR"/>
              </w:rPr>
            </w:pPr>
          </w:p>
        </w:tc>
      </w:tr>
      <w:tr w:rsidR="00B746D7" w14:paraId="0FC16605" w14:textId="77777777" w:rsidTr="00B746D7">
        <w:trPr>
          <w:trHeight w:val="607"/>
        </w:trPr>
        <w:tc>
          <w:tcPr>
            <w:tcW w:w="560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38" w:type="dxa"/>
            <w:vMerge w:val="restart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B746D7" w:rsidRPr="00B746D7" w:rsidRDefault="00B746D7" w:rsidP="00B746D7">
            <w:pPr>
              <w:rPr>
                <w:b/>
                <w:bCs/>
                <w:u w:val="single"/>
                <w:lang w:val="fr-FR"/>
              </w:rPr>
            </w:pPr>
            <w:r w:rsidRPr="00B746D7">
              <w:rPr>
                <w:b/>
                <w:bCs/>
                <w:u w:val="single"/>
                <w:lang w:val="fr-FR"/>
              </w:rPr>
              <w:t>Le support :     /16</w:t>
            </w:r>
          </w:p>
          <w:p w14:paraId="2FD34BD8" w14:textId="0E9C204F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>&gt;&gt; Lisibilité des informations (hiérarchisation / organisation / clarté : écriture / couleurs / mise en page/ grandeur du support)</w:t>
            </w:r>
          </w:p>
          <w:p w14:paraId="58117030" w14:textId="03D6A207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B746D7" w:rsidRPr="00E0225E" w:rsidRDefault="00B746D7" w:rsidP="00B746D7">
            <w:pPr>
              <w:rPr>
                <w:lang w:val="fr-FR"/>
              </w:rPr>
            </w:pPr>
            <w:r w:rsidRPr="00E0225E">
              <w:rPr>
                <w:lang w:val="fr-FR"/>
              </w:rPr>
              <w:t xml:space="preserve">&gt;&gt; Qualité visuelle (matières, précision, lien texte/image, soin...) / personnalisation du support </w:t>
            </w:r>
            <w:r>
              <w:rPr>
                <w:lang w:val="fr-FR"/>
              </w:rPr>
              <w:t>(à l’image de ma pratique)</w:t>
            </w:r>
          </w:p>
          <w:p w14:paraId="23778A87" w14:textId="4B451D88" w:rsidR="00B746D7" w:rsidRPr="00B746D7" w:rsidRDefault="00B746D7" w:rsidP="00B746D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</w:t>
            </w:r>
          </w:p>
          <w:p w14:paraId="048584E2" w14:textId="7EC4F9FE" w:rsidR="00B746D7" w:rsidRPr="00B746D7" w:rsidRDefault="00B746D7" w:rsidP="00B746D7">
            <w:pPr>
              <w:rPr>
                <w:b/>
                <w:bCs/>
                <w:u w:val="single"/>
                <w:lang w:val="fr-FR"/>
              </w:rPr>
            </w:pPr>
            <w:r w:rsidRPr="00B746D7">
              <w:rPr>
                <w:b/>
                <w:bCs/>
                <w:u w:val="single"/>
                <w:lang w:val="fr-FR"/>
              </w:rPr>
              <w:t>L'oral (vidéo, enregistrement...)1 minute          /4</w:t>
            </w:r>
          </w:p>
          <w:p w14:paraId="11479324" w14:textId="77777777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>&gt;&gt; Propos audibles, clairs, synthétiques</w:t>
            </w:r>
          </w:p>
          <w:p w14:paraId="01E49909" w14:textId="77777777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</w:p>
        </w:tc>
        <w:tc>
          <w:tcPr>
            <w:tcW w:w="558" w:type="dxa"/>
          </w:tcPr>
          <w:p w14:paraId="50A05AC4" w14:textId="5FAF4669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X</w:t>
            </w:r>
          </w:p>
        </w:tc>
        <w:tc>
          <w:tcPr>
            <w:tcW w:w="590" w:type="dxa"/>
          </w:tcPr>
          <w:p w14:paraId="32C6F708" w14:textId="77777777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77777777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</w:p>
        </w:tc>
      </w:tr>
      <w:tr w:rsidR="00B746D7" w14:paraId="4524814B" w14:textId="77777777" w:rsidTr="00B746D7">
        <w:trPr>
          <w:trHeight w:val="507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D2A3A21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804C63A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5A35686D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4DF3F0C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226880DF" w14:textId="3D7612F4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90" w:type="dxa"/>
          </w:tcPr>
          <w:p w14:paraId="1E24B38B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108AEBF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12838E7D" w14:textId="77777777" w:rsidTr="00B746D7">
        <w:trPr>
          <w:trHeight w:val="383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01E5E88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681D6C68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4BD4CC4A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3DAE0C0C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5911080B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90" w:type="dxa"/>
          </w:tcPr>
          <w:p w14:paraId="7D6E661C" w14:textId="75C1DFDF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F50316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7FB3F1A6" w14:textId="77777777" w:rsidTr="00B746D7">
        <w:trPr>
          <w:trHeight w:val="902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CC0FFC6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33211849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17AD7BB1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756F009A" w14:textId="29B667EC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58" w:type="dxa"/>
          </w:tcPr>
          <w:p w14:paraId="3E7702D7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90" w:type="dxa"/>
          </w:tcPr>
          <w:p w14:paraId="76B4C559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003DFF8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13DC8719" w14:textId="77777777" w:rsidTr="00B746D7">
        <w:trPr>
          <w:trHeight w:val="457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99672FA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BC5CC30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6E3758CD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5C56AAFB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03EA386D" w14:textId="358ACAB1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90" w:type="dxa"/>
          </w:tcPr>
          <w:p w14:paraId="4B836DE3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C1B7177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54614656" w14:textId="77777777" w:rsidTr="00B746D7">
        <w:trPr>
          <w:trHeight w:val="322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7A6FE99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1C8204F5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4304E885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2E591507" w14:textId="288EAB70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58" w:type="dxa"/>
          </w:tcPr>
          <w:p w14:paraId="2A8877CC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90" w:type="dxa"/>
          </w:tcPr>
          <w:p w14:paraId="5068A72C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59E2298F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17AAA382" w14:textId="77777777" w:rsidTr="00B746D7">
        <w:trPr>
          <w:trHeight w:val="265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B5457E6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0DBCC835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1E594ED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6331EFFC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0DD06FA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90" w:type="dxa"/>
          </w:tcPr>
          <w:p w14:paraId="105798EF" w14:textId="0453B7F1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B92BEB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Pr="00E0225E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sectPr w:rsidR="00737727" w:rsidRPr="00E0225E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8E2812"/>
    <w:rsid w:val="00997957"/>
    <w:rsid w:val="009A3DEE"/>
    <w:rsid w:val="009F070E"/>
    <w:rsid w:val="00B746D7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LOPEZ Clémence</cp:lastModifiedBy>
  <cp:revision>4</cp:revision>
  <cp:lastPrinted>2022-09-30T09:14:00Z</cp:lastPrinted>
  <dcterms:created xsi:type="dcterms:W3CDTF">2023-10-06T07:10:00Z</dcterms:created>
  <dcterms:modified xsi:type="dcterms:W3CDTF">2023-10-06T08:41:00Z</dcterms:modified>
</cp:coreProperties>
</file>