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 créer un corpus d’œuvres de référence 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pour développer et montrer sa culture artistique à l’écrit et à l’oral :</w:t>
      </w:r>
    </w:p>
    <w:p>
      <w:pPr>
        <w:pStyle w:val="Normal"/>
        <w:jc w:val="center"/>
        <w:rPr>
          <w:b/>
          <w:b/>
          <w:bCs/>
          <w:i/>
          <w:i/>
          <w:iCs/>
          <w:color w:val="FF0000"/>
          <w:sz w:val="24"/>
          <w:szCs w:val="24"/>
        </w:rPr>
      </w:pPr>
      <w:r>
        <w:rPr>
          <w:b/>
          <w:bCs/>
          <w:i/>
          <w:iCs/>
          <w:color w:val="FF0000"/>
          <w:sz w:val="24"/>
          <w:szCs w:val="24"/>
        </w:rPr>
        <w:t>Astuce : Choisissez des œuvres « couteau suisse » qui peuvent servir à plusieurs axes de programme</w:t>
      </w:r>
    </w:p>
    <w:p>
      <w:pPr>
        <w:pStyle w:val="Normal"/>
        <w:jc w:val="center"/>
        <w:rPr>
          <w:b/>
          <w:b/>
          <w:bCs/>
          <w:i/>
          <w:i/>
          <w:iCs/>
          <w:color w:val="FF0000"/>
          <w:sz w:val="24"/>
          <w:szCs w:val="24"/>
        </w:rPr>
      </w:pPr>
      <w:r>
        <w:rPr>
          <w:b/>
          <w:bCs/>
          <w:i/>
          <w:iCs/>
          <w:color w:val="FF0000"/>
          <w:sz w:val="24"/>
          <w:szCs w:val="24"/>
        </w:rPr>
      </w:r>
    </w:p>
    <w:tbl>
      <w:tblPr>
        <w:tblStyle w:val="Grilledutableau"/>
        <w:tblW w:w="1411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90"/>
        <w:gridCol w:w="3657"/>
        <w:gridCol w:w="2280"/>
        <w:gridCol w:w="6582"/>
      </w:tblGrid>
      <w:tr>
        <w:trPr/>
        <w:tc>
          <w:tcPr>
            <w:tcW w:w="1590" w:type="dxa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Le Cycle des Nymphéas de Claude Monet</w:t>
            </w:r>
          </w:p>
        </w:tc>
        <w:tc>
          <w:tcPr>
            <w:tcW w:w="3657" w:type="dxa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Axe de programme</w:t>
            </w:r>
          </w:p>
        </w:tc>
        <w:tc>
          <w:tcPr>
            <w:tcW w:w="2280" w:type="dxa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Œuvre (choisie dans le dossier) en lien avec l’axe de programme</w:t>
            </w:r>
          </w:p>
        </w:tc>
        <w:tc>
          <w:tcPr>
            <w:tcW w:w="6582" w:type="dxa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Explications + Points communs et différences entre l’</w:t>
            </w:r>
            <w:r>
              <w:rPr>
                <w:rFonts w:ascii="Calibri" w:hAnsi="Calibri"/>
                <w:b/>
                <w:bCs/>
                <w:color w:val="000080"/>
                <w:sz w:val="26"/>
                <w:szCs w:val="26"/>
              </w:rPr>
              <w:t>œuvre choisie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et </w:t>
            </w:r>
            <w:r>
              <w:rPr>
                <w:rFonts w:ascii="Calibri" w:hAnsi="Calibri"/>
                <w:b/>
                <w:bCs/>
                <w:color w:val="008000"/>
                <w:sz w:val="26"/>
                <w:szCs w:val="26"/>
              </w:rPr>
              <w:t>le cycle des Nymphéas</w:t>
            </w:r>
          </w:p>
        </w:tc>
      </w:tr>
      <w:tr>
        <w:trPr/>
        <w:tc>
          <w:tcPr>
            <w:tcW w:w="1590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771525" cy="466725"/>
                  <wp:effectExtent l="0" t="0" r="0" b="0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tcBorders/>
            <w:shd w:fill="auto" w:val="clear"/>
          </w:tcPr>
          <w:p>
            <w:pPr>
              <w:pStyle w:val="Normal"/>
              <w:rPr>
                <w:rFonts w:ascii="Tahoma" w:hAnsi="Tahoma" w:cs="Tahoma"/>
                <w:color w:val="000000" w:themeColor="text1" w:themeShade="ff" w:themeTint="ff"/>
                <w:sz w:val="21"/>
                <w:szCs w:val="21"/>
              </w:rPr>
            </w:pPr>
            <w:r>
              <w:rPr>
                <w:rFonts w:cs="Tahoma" w:ascii="Tahoma" w:hAnsi="Tahoma"/>
                <w:color w:val="000000" w:themeColor="text1" w:themeShade="ff" w:themeTint="ff"/>
                <w:sz w:val="21"/>
                <w:szCs w:val="21"/>
              </w:rPr>
              <w:t>Monumentalité</w:t>
            </w:r>
          </w:p>
        </w:tc>
        <w:tc>
          <w:tcPr>
            <w:tcW w:w="2280" w:type="dxa"/>
            <w:tcBorders/>
            <w:shd w:fill="auto" w:val="clear"/>
          </w:tcPr>
          <w:p>
            <w:pPr>
              <w:pStyle w:val="Normal"/>
              <w:jc w:val="center"/>
              <w:rPr>
                <w:color w:val="000080"/>
              </w:rPr>
            </w:pPr>
            <w:r>
              <w:rPr>
                <w:rFonts w:cs="Tahoma" w:ascii="Tahoma" w:hAnsi="Tahoma"/>
                <w:color w:val="000080" w:themeShade="ff" w:themeTint="ff"/>
                <w:sz w:val="21"/>
                <w:szCs w:val="21"/>
              </w:rPr>
              <w:t>La chapelle Rothko à Houston au Texas (1964- 1970), 14 tableaux.</w:t>
            </w:r>
          </w:p>
          <w:p>
            <w:pPr>
              <w:pStyle w:val="Normal"/>
              <w:jc w:val="center"/>
              <w:rPr>
                <w:color w:val="000080"/>
              </w:rPr>
            </w:pPr>
            <w:r>
              <w:rPr>
                <w:rFonts w:cs="Tahoma" w:ascii="Tahoma" w:hAnsi="Tahoma"/>
                <w:color w:val="000080" w:themeShade="ff" w:themeTint="ff"/>
                <w:sz w:val="21"/>
                <w:szCs w:val="21"/>
              </w:rPr>
              <w:t xml:space="preserve"> </w:t>
            </w:r>
            <w:r>
              <w:rPr>
                <w:rFonts w:cs="Tahoma" w:ascii="Tahoma" w:hAnsi="Tahoma"/>
                <w:color w:val="000080" w:themeShade="ff" w:themeTint="ff"/>
                <w:sz w:val="21"/>
                <w:szCs w:val="21"/>
              </w:rPr>
              <w:t xml:space="preserve">La chapelle Rothko sera inaugurée en 1971 </w:t>
            </w:r>
          </w:p>
        </w:tc>
        <w:tc>
          <w:tcPr>
            <w:tcW w:w="6582" w:type="dxa"/>
            <w:tcBorders/>
            <w:shd w:fill="auto" w:val="clear"/>
          </w:tcPr>
          <w:p>
            <w:pPr>
              <w:pStyle w:val="Normal"/>
              <w:jc w:val="center"/>
              <w:rPr>
                <w:color w:val="000080"/>
              </w:rPr>
            </w:pP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 xml:space="preserve">→  </w:t>
            </w: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 xml:space="preserve">commande du couple de collectionneurs :De Menil / </w:t>
            </w:r>
            <w:r>
              <w:rPr>
                <w:rFonts w:cs="Tahoma" w:ascii="Calibri" w:hAnsi="Calibri"/>
                <w:color w:val="008000" w:themeShade="ff" w:themeTint="ff"/>
                <w:sz w:val="26"/>
                <w:szCs w:val="26"/>
              </w:rPr>
              <w:t>pas ne commande, don à l’état</w:t>
            </w:r>
          </w:p>
          <w:p>
            <w:pPr>
              <w:pStyle w:val="Normal"/>
              <w:jc w:val="center"/>
              <w:rPr>
                <w:color w:val="000080"/>
              </w:rPr>
            </w:pP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 xml:space="preserve">→ </w:t>
            </w: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 xml:space="preserve">espace octogonal + un éclairage zénithal naturel (très proche de ses conditions de travail dans son atelier new-yorkais) / </w:t>
            </w:r>
            <w:r>
              <w:rPr>
                <w:rFonts w:cs="Tahoma" w:ascii="Calibri" w:hAnsi="Calibri"/>
                <w:color w:val="008000" w:themeShade="ff" w:themeTint="ff"/>
                <w:sz w:val="26"/>
                <w:szCs w:val="26"/>
              </w:rPr>
              <w:t>musée adapté pour l’œuvre + lumière zénithal naturel.</w:t>
            </w:r>
          </w:p>
          <w:p>
            <w:pPr>
              <w:pStyle w:val="Normal"/>
              <w:jc w:val="center"/>
              <w:rPr>
                <w:color w:val="000080"/>
              </w:rPr>
            </w:pP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 xml:space="preserve"> → </w:t>
            </w: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>14 grands formats tout en nuances de violet sombre. /</w:t>
            </w:r>
            <w:r>
              <w:rPr>
                <w:rFonts w:cs="Tahoma" w:ascii="Calibri" w:hAnsi="Calibri"/>
                <w:color w:val="008000" w:themeShade="ff" w:themeTint="ff"/>
                <w:sz w:val="26"/>
                <w:szCs w:val="26"/>
              </w:rPr>
              <w:t xml:space="preserve"> 8 grands panneaux dan le thème des nymphéas.</w:t>
            </w:r>
          </w:p>
          <w:p>
            <w:pPr>
              <w:pStyle w:val="Normal"/>
              <w:jc w:val="center"/>
              <w:rPr>
                <w:color w:val="000080"/>
              </w:rPr>
            </w:pP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 xml:space="preserve">→ </w:t>
            </w: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 xml:space="preserve">Il composera cet ensemble de façon cohérente et en lien avec ce lieu de culte, sobre. </w:t>
            </w:r>
            <w:r>
              <w:rPr>
                <w:rFonts w:cs="Tahoma" w:ascii="Calibri" w:hAnsi="Calibri"/>
                <w:color w:val="008000" w:themeShade="ff" w:themeTint="ff"/>
                <w:sz w:val="26"/>
                <w:szCs w:val="26"/>
              </w:rPr>
              <w:t>/ Monet jonglera entre peindre sur le vif et en atelier car il ne peut pas transporter ses panneaux.</w:t>
            </w:r>
          </w:p>
          <w:p>
            <w:pPr>
              <w:pStyle w:val="Normal"/>
              <w:jc w:val="center"/>
              <w:rPr>
                <w:color w:val="000080"/>
              </w:rPr>
            </w:pP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 xml:space="preserve">→ </w:t>
            </w: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 xml:space="preserve">Cette œuvre va l'épuiser ainsi que son couple le fragilisant psychologiquement, il se suicidera en 1970. </w:t>
            </w:r>
            <w:r>
              <w:rPr>
                <w:rFonts w:cs="Tahoma" w:ascii="Calibri" w:hAnsi="Calibri"/>
                <w:color w:val="008000" w:themeShade="ff" w:themeTint="ff"/>
                <w:sz w:val="26"/>
                <w:szCs w:val="26"/>
              </w:rPr>
              <w:t>/ Monet décèdera avant de pouvoir voir son œuvre exposée dans le musée.</w:t>
            </w:r>
          </w:p>
        </w:tc>
      </w:tr>
      <w:tr>
        <w:trPr/>
        <w:tc>
          <w:tcPr>
            <w:tcW w:w="1410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Calibri" w:hAnsi="Calibri" w:cs="Tahoma"/>
                <w:color w:val="000000" w:themeColor="text1" w:themeShade="ff" w:themeTint="ff"/>
                <w:sz w:val="26"/>
                <w:szCs w:val="26"/>
              </w:rPr>
            </w:pPr>
            <w:r>
              <w:rPr>
                <w:rFonts w:cs="Tahoma" w:ascii="Calibri" w:hAnsi="Calibri"/>
                <w:color w:val="000000" w:themeColor="text1" w:themeShade="ff" w:themeTint="ff"/>
                <w:sz w:val="26"/>
                <w:szCs w:val="26"/>
              </w:rPr>
            </w:r>
          </w:p>
        </w:tc>
      </w:tr>
      <w:tr>
        <w:trPr/>
        <w:tc>
          <w:tcPr>
            <w:tcW w:w="1590" w:type="dxa"/>
            <w:vMerge w:val="restart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771525" cy="342900"/>
                  <wp:effectExtent l="0" t="0" r="0" b="0"/>
                  <wp:docPr id="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tcBorders/>
            <w:shd w:fill="auto" w:val="clear"/>
          </w:tcPr>
          <w:p>
            <w:pPr>
              <w:pStyle w:val="Normal"/>
              <w:rPr>
                <w:rFonts w:ascii="Tahoma" w:hAnsi="Tahoma" w:cs="Tahoma"/>
                <w:color w:val="000000" w:themeColor="text1" w:themeShade="ff" w:themeTint="ff"/>
                <w:sz w:val="21"/>
                <w:szCs w:val="21"/>
              </w:rPr>
            </w:pPr>
            <w:r>
              <w:rPr>
                <w:rFonts w:cs="Tahoma" w:ascii="Tahoma" w:hAnsi="Tahoma"/>
                <w:color w:val="000000" w:themeColor="text1" w:themeShade="ff" w:themeTint="ff"/>
                <w:sz w:val="21"/>
                <w:szCs w:val="21"/>
              </w:rPr>
              <w:t xml:space="preserve">Rapport au réel : mimesis, ressemblance, vraisemblance </w:t>
            </w:r>
          </w:p>
        </w:tc>
        <w:tc>
          <w:tcPr>
            <w:tcW w:w="2280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color w:val="000000" w:themeColor="text1" w:themeShade="ff" w:themeTint="ff"/>
                <w:sz w:val="21"/>
                <w:szCs w:val="21"/>
              </w:rPr>
            </w:pPr>
            <w:bookmarkStart w:id="0" w:name="__DdeLink__168_4284637423"/>
            <w:r>
              <w:rPr>
                <w:rFonts w:cs="Tahoma" w:ascii="Tahoma" w:hAnsi="Tahoma"/>
                <w:color w:val="000080" w:themeShade="ff" w:themeTint="ff"/>
                <w:sz w:val="21"/>
                <w:szCs w:val="21"/>
              </w:rPr>
              <w:t>Les Trente-six vues de mont Fuji</w:t>
            </w:r>
            <w:bookmarkEnd w:id="0"/>
          </w:p>
        </w:tc>
        <w:tc>
          <w:tcPr>
            <w:tcW w:w="6582" w:type="dxa"/>
            <w:tcBorders/>
            <w:shd w:fill="auto" w:val="clear"/>
          </w:tcPr>
          <w:p>
            <w:pPr>
              <w:pStyle w:val="Normal"/>
              <w:jc w:val="center"/>
              <w:rPr>
                <w:color w:val="000080"/>
              </w:rPr>
            </w:pP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 xml:space="preserve">→ </w:t>
            </w: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>mimesis d’un élément réel de la nature, ressemblance avec  le paysage (mais simplification des formes et de la technique)</w:t>
            </w:r>
          </w:p>
          <w:p>
            <w:pPr>
              <w:pStyle w:val="Normal"/>
              <w:jc w:val="center"/>
              <w:rPr>
                <w:color w:val="000080"/>
              </w:rPr>
            </w:pP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 xml:space="preserve">→ </w:t>
            </w: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 xml:space="preserve">Empâtement pour le Cycle des Nymphéas </w:t>
            </w:r>
          </w:p>
          <w:p>
            <w:pPr>
              <w:pStyle w:val="Normal"/>
              <w:jc w:val="center"/>
              <w:rPr>
                <w:rFonts w:ascii="Calibri" w:hAnsi="Calibri" w:cs="Tahoma"/>
                <w:color w:themeColor="text1" w:themeShade="ff" w:themeTint="ff"/>
                <w:sz w:val="26"/>
                <w:szCs w:val="26"/>
              </w:rPr>
            </w:pPr>
            <w:r>
              <w:rPr>
                <w:rFonts w:cs="Tahoma" w:ascii="Calibri" w:hAnsi="Calibri"/>
                <w:color w:themeColor="text1" w:themeShade="ff" w:themeTint="ff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Tahoma" w:hAnsi="Tahoma" w:cs="Tahoma"/>
                <w:color w:themeColor="text1" w:themeShade="ff" w:themeTint="ff"/>
                <w:sz w:val="21"/>
                <w:szCs w:val="21"/>
              </w:rPr>
            </w:pPr>
            <w:r>
              <w:rPr>
                <w:rFonts w:cs="Tahoma" w:ascii="Calibri" w:hAnsi="Calibri"/>
                <w:color w:val="008000" w:themeShade="ff" w:themeTint="ff"/>
                <w:sz w:val="26"/>
                <w:szCs w:val="26"/>
              </w:rPr>
              <w:t xml:space="preserve">Écarts avec le réel, une réinterprétation picturale • Le geste impressionniste: la touche, le médium et le support sont visibles • La couleur prend le pas sur la forme (touche divisionniste) • Exploration d’un même motif, mais sous le s multiples variations de lumière. Perception renouvelée. • Peindre le souvenir d’une sensation dans l’atelier. </w:t>
            </w:r>
          </w:p>
        </w:tc>
      </w:tr>
      <w:tr>
        <w:trPr/>
        <w:tc>
          <w:tcPr>
            <w:tcW w:w="1590" w:type="dxa"/>
            <w:vMerge w:val="continue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3657" w:type="dxa"/>
            <w:tcBorders/>
            <w:shd w:fill="auto" w:val="clear"/>
          </w:tcPr>
          <w:p>
            <w:pPr>
              <w:pStyle w:val="Normal"/>
              <w:rPr>
                <w:rFonts w:ascii="Tahoma" w:hAnsi="Tahoma" w:cs="Tahoma"/>
                <w:color w:val="000000" w:themeColor="text1" w:themeShade="ff" w:themeTint="ff"/>
                <w:sz w:val="21"/>
                <w:szCs w:val="21"/>
              </w:rPr>
            </w:pPr>
            <w:r>
              <w:rPr>
                <w:rFonts w:cs="Tahoma" w:ascii="Tahoma" w:hAnsi="Tahoma"/>
                <w:color w:val="000000" w:themeColor="text1" w:themeShade="ff" w:themeTint="ff"/>
                <w:sz w:val="21"/>
                <w:szCs w:val="21"/>
              </w:rPr>
            </w:r>
          </w:p>
          <w:p>
            <w:pPr>
              <w:pStyle w:val="Normal"/>
              <w:rPr>
                <w:rFonts w:ascii="Tahoma" w:hAnsi="Tahoma" w:cs="Tahoma"/>
                <w:color w:val="000000" w:themeColor="text1" w:themeShade="ff" w:themeTint="ff"/>
                <w:sz w:val="21"/>
                <w:szCs w:val="21"/>
              </w:rPr>
            </w:pPr>
            <w:r>
              <w:rPr>
                <w:rFonts w:cs="Tahoma" w:ascii="Tahoma" w:hAnsi="Tahoma"/>
                <w:color w:val="000000" w:themeColor="text1" w:themeShade="ff" w:themeTint="ff"/>
                <w:sz w:val="21"/>
                <w:szCs w:val="21"/>
              </w:rPr>
              <w:t>Rapport au réel : valeur expressive de l'écart</w:t>
            </w:r>
          </w:p>
        </w:tc>
        <w:tc>
          <w:tcPr>
            <w:tcW w:w="2280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color w:val="000080" w:themeShade="ff" w:themeTint="ff"/>
                <w:sz w:val="21"/>
                <w:szCs w:val="21"/>
              </w:rPr>
            </w:pPr>
            <w:r>
              <w:rPr>
                <w:rFonts w:cs="Tahoma" w:ascii="Tahoma" w:hAnsi="Tahoma"/>
                <w:color w:val="000080" w:themeShade="ff" w:themeTint="ff"/>
                <w:sz w:val="21"/>
                <w:szCs w:val="21"/>
              </w:rPr>
            </w:r>
          </w:p>
          <w:p>
            <w:pPr>
              <w:pStyle w:val="Normal"/>
              <w:jc w:val="center"/>
              <w:rPr>
                <w:rFonts w:ascii="Tahoma" w:hAnsi="Tahoma" w:cs="Tahoma"/>
                <w:color w:val="000000" w:themeColor="text1" w:themeShade="ff" w:themeTint="ff"/>
                <w:sz w:val="21"/>
                <w:szCs w:val="21"/>
              </w:rPr>
            </w:pPr>
            <w:r>
              <w:rPr>
                <w:rFonts w:cs="Tahoma" w:ascii="Tahoma" w:hAnsi="Tahoma"/>
                <w:color w:val="000080" w:themeShade="ff" w:themeTint="ff"/>
                <w:sz w:val="21"/>
                <w:szCs w:val="21"/>
              </w:rPr>
              <w:t>Les Trente-six vues de mont Fuji</w:t>
            </w:r>
          </w:p>
        </w:tc>
        <w:tc>
          <w:tcPr>
            <w:tcW w:w="65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Calibri" w:hAnsi="Calibri" w:cs="Tahoma"/>
                <w:color w:val="000080" w:themeShade="ff" w:themeTint="ff"/>
                <w:sz w:val="26"/>
                <w:szCs w:val="26"/>
              </w:rPr>
            </w:pP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color w:val="000080"/>
              </w:rPr>
            </w:pPr>
            <w:r>
              <w:rPr>
                <w:rFonts w:cs="Tahoma" w:ascii="Calibri" w:hAnsi="Calibri"/>
                <w:color w:val="000080" w:themeShade="ff" w:themeTint="ff"/>
                <w:sz w:val="26"/>
                <w:szCs w:val="26"/>
              </w:rPr>
              <w:t>- lié à la technique : ne veux pas vraiment représenter le réel car = gravure</w:t>
            </w:r>
          </w:p>
          <w:p>
            <w:pPr>
              <w:pStyle w:val="Normal"/>
              <w:jc w:val="center"/>
              <w:rPr>
                <w:rFonts w:ascii="Calibri" w:hAnsi="Calibri" w:cs="Tahoma"/>
                <w:color w:val="000000" w:themeColor="text1" w:themeShade="ff" w:themeTint="ff"/>
                <w:sz w:val="26"/>
                <w:szCs w:val="26"/>
              </w:rPr>
            </w:pPr>
            <w:r>
              <w:rPr>
                <w:rFonts w:cs="Tahoma" w:ascii="Calibri" w:hAnsi="Calibri"/>
                <w:color w:val="000000" w:themeColor="text1" w:themeShade="ff" w:themeTint="ff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color w:val="008000"/>
              </w:rPr>
            </w:pPr>
            <w:r>
              <w:rPr>
                <w:rFonts w:cs="Tahoma" w:ascii="Calibri" w:hAnsi="Calibri"/>
                <w:color w:val="008000" w:themeShade="ff" w:themeTint="ff"/>
                <w:sz w:val="26"/>
                <w:szCs w:val="26"/>
              </w:rPr>
              <w:t xml:space="preserve">L’INFINI L'illimité et donc la no&amp;on de « all over », qui sera reprise plus tard par les ar&amp;stes Américains de l'Expressionnisme Abstrait. Le TEMPS passe, à travers le thème de l'eau ou de la végétation déjà repris en poésie (Pont Mirabeau...) </w:t>
            </w:r>
          </w:p>
          <w:p>
            <w:pPr>
              <w:pStyle w:val="Normal"/>
              <w:jc w:val="center"/>
              <w:rPr>
                <w:color w:val="008000"/>
              </w:rPr>
            </w:pPr>
            <w:r>
              <w:rPr>
                <w:rFonts w:cs="Tahoma" w:ascii="Calibri" w:hAnsi="Calibri"/>
                <w:color w:val="008000" w:themeShade="ff" w:themeTint="ff"/>
                <w:sz w:val="26"/>
                <w:szCs w:val="26"/>
              </w:rPr>
              <w:t>Modalité de la suggestion de l’espace • Illusion de profondeur et d’étendue, systèmes non perspectifs. • Frise panoramique, all over, cadrages serrés • Présence de l’eau et de la végétation: effets chromatiques, un jeu infini de reflets et de lumières. Perte de repère</w:t>
            </w:r>
          </w:p>
        </w:tc>
      </w:tr>
      <w:tr>
        <w:trPr/>
        <w:tc>
          <w:tcPr>
            <w:tcW w:w="1410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1590" w:type="dxa"/>
            <w:vMerge w:val="restart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771525" cy="381000"/>
                  <wp:effectExtent l="0" t="0" r="0" b="0"/>
                  <wp:docPr id="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771525" cy="514350"/>
                  <wp:effectExtent l="0" t="0" r="0" b="0"/>
                  <wp:docPr id="4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tcBorders/>
            <w:shd w:fill="auto" w:val="clear"/>
          </w:tcPr>
          <w:p>
            <w:pPr>
              <w:pStyle w:val="Normal"/>
              <w:shd w:val="clear" w:color="auto" w:fill="FFFFFF"/>
              <w:spacing w:beforeAutospacing="1" w:after="0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cs="Tahoma" w:ascii="Tahoma" w:hAnsi="Tahoma"/>
                <w:color w:val="000000"/>
                <w:sz w:val="21"/>
                <w:szCs w:val="21"/>
              </w:rPr>
              <w:t xml:space="preserve">Figuration et construction de l’image </w:t>
            </w:r>
          </w:p>
        </w:tc>
        <w:tc>
          <w:tcPr>
            <w:tcW w:w="2280" w:type="dxa"/>
            <w:vMerge w:val="restart"/>
            <w:tcBorders/>
            <w:shd w:fill="auto" w:val="clear"/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 xml:space="preserve">Miguel CHEVALIER, </w:t>
            </w:r>
            <w:r>
              <w:rPr>
                <w:b/>
                <w:bCs/>
                <w:i/>
                <w:iCs/>
                <w:u w:val="single"/>
              </w:rPr>
              <w:t>Extra Natural</w:t>
            </w:r>
            <w:r>
              <w:rPr>
                <w:b/>
                <w:bCs/>
              </w:rPr>
              <w:t>, 2018</w:t>
            </w:r>
            <w:r>
              <w:rPr/>
              <w:t>, installation numérique générative, exposition Artistes et Robots, Grand Palais, Paris</w:t>
            </w:r>
          </w:p>
          <w:p>
            <w:pPr>
              <w:pStyle w:val="Normal"/>
              <w:rPr/>
            </w:pPr>
            <w:hyperlink r:id="rId6">
              <w:r>
                <w:rPr>
                  <w:rStyle w:val="LienInternet"/>
                </w:rPr>
                <w:t>https://youtu.be/DF0518mpByU</w:t>
              </w:r>
            </w:hyperlink>
            <w:r>
              <w:rPr/>
              <w:t xml:space="preserve"> </w:t>
            </w:r>
          </w:p>
        </w:tc>
        <w:tc>
          <w:tcPr>
            <w:tcW w:w="6582" w:type="dxa"/>
            <w:vMerge w:val="restart"/>
            <w:tcBorders/>
            <w:shd w:fill="auto" w:val="clear"/>
          </w:tcPr>
          <w:p>
            <w:pPr>
              <w:pStyle w:val="Normal"/>
              <w:jc w:val="center"/>
              <w:rPr>
                <w:sz w:val="21"/>
                <w:szCs w:val="21"/>
              </w:rPr>
            </w:pPr>
            <w:r>
              <w:rPr>
                <w:rFonts w:ascii="Calibri" w:hAnsi="Calibri"/>
                <w:sz w:val="26"/>
                <w:szCs w:val="26"/>
              </w:rPr>
              <w:t>Végétal = référent ; œuvres immersives ; rapports aux spectateurs intégrés au processus dès la création (scénographie, capteurs) ; Rôle contemplatif, actif, participatif, immersif, interactif du spectateur ; Temps de création de l’œuvre, de vie de celle-ci, de découverte par le spectateur ; prise en compte de la temporalité peinte ou réelle ; Nature en croissance, au gré des heures du jour et des saisons (série pour Monet et suite narrative pour Chevalier) ; Rapports au lieu d’exposition : œuvre fusionne avec son lieu de présentation.</w:t>
            </w:r>
          </w:p>
          <w:p>
            <w:pPr>
              <w:pStyle w:val="Normal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Image fixe / image mobile, générative ; œuvre matérielle (empâtements picturaux) / œuvre immatérielle (numérique) </w:t>
            </w:r>
          </w:p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8000"/>
                <w:sz w:val="21"/>
                <w:szCs w:val="21"/>
              </w:rPr>
            </w:pPr>
            <w:r>
              <w:rPr>
                <w:rFonts w:ascii="Calibri" w:hAnsi="Calibri"/>
                <w:b w:val="false"/>
                <w:bCs w:val="false"/>
                <w:color w:val="008000"/>
                <w:sz w:val="26"/>
                <w:szCs w:val="26"/>
              </w:rPr>
              <w:t xml:space="preserve">Images de la nature : volonté de traduire le sensible et l’immédiat de la lumière sur la matière de l’eau, les effets et leurs représentations en donnant l’impression de réalisme </w:t>
            </w:r>
          </w:p>
          <w:p>
            <w:pPr>
              <w:pStyle w:val="Normal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color w:val="008000"/>
                <w:sz w:val="26"/>
                <w:szCs w:val="26"/>
              </w:rPr>
              <w:t xml:space="preserve">Entre figuration et abstraction : c’est la représentation d’une « illusion d’un tout sans fin, d’une onde sans horizon et sans rivage ». Le regard du spectateur est ainsi tourné vers la matière picturale qui est simultanément figure et image </w:t>
            </w:r>
            <w:r>
              <w:rPr>
                <w:rFonts w:ascii="Calibri" w:hAnsi="Calibri"/>
                <w:color w:val="008000"/>
                <w:sz w:val="26"/>
                <w:szCs w:val="26"/>
              </w:rPr>
              <w:t xml:space="preserve">. </w:t>
            </w:r>
          </w:p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1590" w:type="dxa"/>
            <w:vMerge w:val="continue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3657" w:type="dxa"/>
            <w:tcBorders/>
            <w:shd w:fill="auto" w:val="clear"/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rFonts w:cs="Tahoma" w:ascii="Tahoma" w:hAnsi="Tahoma"/>
                <w:color w:val="000000"/>
                <w:sz w:val="21"/>
                <w:szCs w:val="21"/>
              </w:rPr>
              <w:t>Espaces narratifs de la figuration et de l’image,</w:t>
            </w:r>
          </w:p>
        </w:tc>
        <w:tc>
          <w:tcPr>
            <w:tcW w:w="2280" w:type="dxa"/>
            <w:vMerge w:val="continue"/>
            <w:tcBorders/>
            <w:shd w:fill="auto" w:val="clear"/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6582" w:type="dxa"/>
            <w:vMerge w:val="continue"/>
            <w:tcBorders/>
            <w:shd w:fill="auto" w:val="clear"/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1590" w:type="dxa"/>
            <w:vMerge w:val="continue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3657" w:type="dxa"/>
            <w:tcBorders/>
            <w:shd w:fill="auto" w:val="clear"/>
          </w:tcPr>
          <w:p>
            <w:pPr>
              <w:pStyle w:val="Normal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cs="Tahoma" w:ascii="Tahoma" w:hAnsi="Tahoma"/>
                <w:color w:val="000000"/>
                <w:sz w:val="21"/>
                <w:szCs w:val="21"/>
              </w:rPr>
              <w:t>Temps de l’image figurative.</w:t>
            </w:r>
          </w:p>
        </w:tc>
        <w:tc>
          <w:tcPr>
            <w:tcW w:w="2280" w:type="dxa"/>
            <w:vMerge w:val="continue"/>
            <w:tcBorders/>
            <w:shd w:fill="auto" w:val="clear"/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6582" w:type="dxa"/>
            <w:vMerge w:val="continue"/>
            <w:tcBorders/>
            <w:shd w:fill="auto" w:val="clear"/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1590" w:type="dxa"/>
            <w:vMerge w:val="continue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3657" w:type="dxa"/>
            <w:tcBorders/>
            <w:shd w:fill="auto" w:val="clear"/>
          </w:tcPr>
          <w:p>
            <w:pPr>
              <w:pStyle w:val="Normal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cs="Tahoma" w:ascii="Tahoma" w:hAnsi="Tahoma"/>
                <w:color w:val="000000"/>
                <w:sz w:val="21"/>
                <w:szCs w:val="21"/>
              </w:rPr>
              <w:t>Mouvement de l’image figurative.</w:t>
            </w:r>
          </w:p>
        </w:tc>
        <w:tc>
          <w:tcPr>
            <w:tcW w:w="2280" w:type="dxa"/>
            <w:vMerge w:val="continue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6582" w:type="dxa"/>
            <w:vMerge w:val="continue"/>
            <w:tcBorders/>
            <w:shd w:fill="auto" w:val="clear"/>
          </w:tcPr>
          <w:p>
            <w:pPr>
              <w:pStyle w:val="Normal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0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1590" w:type="dxa"/>
            <w:vMerge w:val="restart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771525" cy="485775"/>
                  <wp:effectExtent l="0" t="0" r="0" b="0"/>
                  <wp:docPr id="5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771525" cy="514350"/>
                  <wp:effectExtent l="0" t="0" r="0" b="0"/>
                  <wp:docPr id="6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tcBorders/>
            <w:shd w:fill="auto" w:val="clear"/>
          </w:tcPr>
          <w:p>
            <w:pPr>
              <w:pStyle w:val="Normal"/>
              <w:shd w:val="clear" w:color="auto" w:fill="FFFFFF"/>
              <w:spacing w:beforeAutospacing="1" w:after="0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cs="Tahoma" w:ascii="Tahoma" w:hAnsi="Tahoma"/>
                <w:color w:val="000000"/>
                <w:sz w:val="21"/>
                <w:szCs w:val="21"/>
              </w:rPr>
              <w:t xml:space="preserve">La réception par un public de l’œuvre exposée, diffusée ou éditée. </w:t>
            </w:r>
          </w:p>
        </w:tc>
        <w:tc>
          <w:tcPr>
            <w:tcW w:w="2280" w:type="dxa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bookmarkStart w:id="1" w:name="__DdeLink__226_1927819942"/>
            <w:r>
              <w:rPr>
                <w:b/>
                <w:bCs/>
                <w:sz w:val="28"/>
                <w:szCs w:val="28"/>
              </w:rPr>
              <w:t xml:space="preserve">GIOTTO di Bondone, Chapelle des Scrovegni, 1292-1296, peintures murales, Padoue, Italie. </w:t>
            </w:r>
            <w:bookmarkEnd w:id="1"/>
          </w:p>
        </w:tc>
        <w:tc>
          <w:tcPr>
            <w:tcW w:w="6582" w:type="dxa"/>
            <w:tcBorders/>
            <w:shd w:fill="auto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  <w:t xml:space="preserve">Point commun : </w:t>
            </w:r>
          </w:p>
          <w:p>
            <w:pPr>
              <w:pStyle w:val="Normal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  <w:t>- bonne immersion du publique : le cycle des nymphéas  immerge grâce à la continuité de l’œuvre en longueur et aux scènes qui suivre.</w:t>
            </w:r>
          </w:p>
          <w:p>
            <w:pPr>
              <w:pStyle w:val="Normal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  <w:t>-  Chapelle des Scrovegni immerge grâce à la continuité des peintures sur le mur et le plafond ce qui nous englobe dans l’œuvre.</w:t>
            </w:r>
          </w:p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color w:val="008000"/>
                <w:sz w:val="26"/>
                <w:szCs w:val="26"/>
              </w:rPr>
              <w:t xml:space="preserve">La forme de l’espace libre incite au déplacement.Le blanc des pièces ( murs, sol, plafond) « libère de l’espace » et rajoute à la présence des peintures.Les espaces de circulation sont étudiés ( luminosité, formes, couleur) pour créer une unité avec l’architecture des salles </w:t>
            </w:r>
            <w:r>
              <w:rPr>
                <w:rFonts w:ascii="Calibri" w:hAnsi="Calibri"/>
                <w:color w:val="008000"/>
                <w:sz w:val="26"/>
                <w:szCs w:val="26"/>
              </w:rPr>
              <w:t xml:space="preserve">Sur les surfaces incurvées se déroule une vision globale </w:t>
            </w:r>
          </w:p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color w:val="008000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color w:val="008000"/>
                <w:sz w:val="26"/>
                <w:szCs w:val="26"/>
              </w:rPr>
            </w:r>
          </w:p>
        </w:tc>
      </w:tr>
      <w:tr>
        <w:trPr/>
        <w:tc>
          <w:tcPr>
            <w:tcW w:w="1590" w:type="dxa"/>
            <w:vMerge w:val="continue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3657" w:type="dxa"/>
            <w:tcBorders/>
            <w:shd w:fill="auto" w:val="clear"/>
          </w:tcPr>
          <w:p>
            <w:pPr>
              <w:pStyle w:val="Normal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cs="Tahoma" w:ascii="Tahoma" w:hAnsi="Tahoma"/>
                <w:color w:val="000000"/>
                <w:sz w:val="21"/>
                <w:szCs w:val="21"/>
              </w:rPr>
              <w:t>Monstration de l’œuvre vers un large public : faire regarder, éprouver, lire, dire l’œuvre exposée, diffusée, éditée, communiquée.</w:t>
            </w:r>
          </w:p>
        </w:tc>
        <w:tc>
          <w:tcPr>
            <w:tcW w:w="2280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GIOTTO di Bondone, Chapelle des Scrovegni, 1292-1296, peintures murales, Padoue, Italie. </w:t>
            </w:r>
          </w:p>
        </w:tc>
        <w:tc>
          <w:tcPr>
            <w:tcW w:w="6582" w:type="dxa"/>
            <w:tcBorders/>
            <w:shd w:fill="auto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ascii="Calibri" w:hAnsi="Calibri"/>
                <w:b w:val="false"/>
                <w:bCs w:val="false"/>
                <w:color w:val="008000"/>
                <w:sz w:val="26"/>
                <w:szCs w:val="26"/>
              </w:rPr>
              <w:t>- aménagement de deux salles comme des yeux immenses (spectateurs au centre de l’oeuvre) -  forme de l’espace incite au déplacement (spectateur bougent et découvre la narration de l’oeuvre) – espaces de circulation sont étudiés pour créer une unité avec l’architecture des salles</w:t>
            </w:r>
          </w:p>
          <w:p>
            <w:pPr>
              <w:pStyle w:val="Normal"/>
              <w:jc w:val="center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  <w:t>point commun : monumentalité - couleur blanche / clair libère de l’espace (les pièces paraissaient bien plus grandes)</w:t>
            </w:r>
          </w:p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CD"/>
                <w:sz w:val="28"/>
                <w:szCs w:val="28"/>
              </w:rPr>
            </w:pPr>
            <w:r>
              <w:rPr>
                <w:rFonts w:ascii="Calibri" w:hAnsi="Calibri"/>
                <w:b w:val="false"/>
                <w:bCs w:val="false"/>
                <w:color w:val="0000CD"/>
                <w:sz w:val="26"/>
                <w:szCs w:val="26"/>
              </w:rPr>
              <w:t>- Concerne un bâtiment  - architecture gothique</w:t>
            </w:r>
          </w:p>
        </w:tc>
      </w:tr>
      <w:tr>
        <w:trPr/>
        <w:tc>
          <w:tcPr>
            <w:tcW w:w="1410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1590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771525" cy="381000"/>
                  <wp:effectExtent l="0" t="0" r="0" b="0"/>
                  <wp:docPr id="7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tcBorders/>
            <w:shd w:fill="auto" w:val="clear"/>
          </w:tcPr>
          <w:p>
            <w:pPr>
              <w:pStyle w:val="Normal"/>
              <w:shd w:val="clear" w:color="auto" w:fill="FFFFFF"/>
              <w:spacing w:beforeAutospacing="1" w:after="0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cs="Tahoma" w:ascii="Tahoma" w:hAnsi="Tahoma"/>
                <w:color w:val="000000"/>
                <w:sz w:val="21"/>
                <w:szCs w:val="21"/>
              </w:rPr>
              <w:t>L’idée, la réalisation et le travail de l’œuvre. Projet de l’œuvre : modalités et moyens du passage du projet à la production artistique, diversité des approches.</w:t>
            </w:r>
          </w:p>
        </w:tc>
        <w:tc>
          <w:tcPr>
            <w:tcW w:w="2280" w:type="dxa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Paul Cézanne, La Montagne Ste Victoire, représentée plus de quatre vingt fois entre 1885 et 1905 </w:t>
            </w:r>
          </w:p>
        </w:tc>
        <w:tc>
          <w:tcPr>
            <w:tcW w:w="65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Monet : remanie le jardin et fait creuser un étang → inspiration dès 1890 pour sa série des nymphéas.</w:t>
            </w:r>
          </w:p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- petit tableau peint sur le motif, grand en atelier</w:t>
            </w:r>
          </w:p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- proposition de lui dédier deux salles dans le Musée de l’Orangerie</w:t>
            </w:r>
          </w:p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Point commun :  - plusieurs collections/séries</w:t>
            </w:r>
          </w:p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-  inspiration de paysage naturelle (et réel)</w:t>
            </w:r>
          </w:p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- matérialité des couleurs et sensations</w:t>
            </w:r>
          </w:p>
        </w:tc>
      </w:tr>
      <w:tr>
        <w:trPr/>
        <w:tc>
          <w:tcPr>
            <w:tcW w:w="1410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1590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123825" cy="771525"/>
                  <wp:effectExtent l="0" t="0" r="0" b="0"/>
                  <wp:docPr id="8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tcBorders/>
            <w:shd w:fill="auto" w:val="clear"/>
          </w:tcPr>
          <w:p>
            <w:pPr>
              <w:pStyle w:val="Normal"/>
              <w:shd w:val="clear" w:color="auto" w:fill="FFFFFF"/>
              <w:spacing w:beforeAutospacing="1" w:after="0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cs="Tahoma" w:ascii="Tahoma" w:hAnsi="Tahoma"/>
                <w:color w:val="000000"/>
                <w:sz w:val="21"/>
                <w:szCs w:val="21"/>
              </w:rPr>
              <w:t>Théâtralisation de l’œuvre et du processus de création.</w:t>
            </w:r>
          </w:p>
        </w:tc>
        <w:tc>
          <w:tcPr>
            <w:tcW w:w="2280" w:type="dxa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David Hockney, A Year in Normandy, Musée de l'Orangerie, 2021. Panorama, frise, cycle </w:t>
            </w:r>
          </w:p>
        </w:tc>
        <w:tc>
          <w:tcPr>
            <w:tcW w:w="65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-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jeux sur les données sensibles, spa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tia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 xml:space="preserve">les, sonores 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et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 xml:space="preserve"> implica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ti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on ou non d’un public.</w:t>
            </w:r>
          </w:p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color w:val="006400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-  décorum, contextualisa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tio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n fic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tiv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e, scénarimage (récit scénographique) proposé au public.</w:t>
            </w:r>
          </w:p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- « 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La Nuit du Quatuor » → récital au Musée devant les nymphéas</w:t>
            </w:r>
          </w:p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  <w:t>Point commun : -captur</w:t>
            </w: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  <w:t>e</w:t>
            </w: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  <w:t xml:space="preserve"> des effets de lumières et des changements climatiques</w:t>
            </w:r>
          </w:p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  <w:t>- pas que le printemps mais toute une année</w:t>
              <w:br/>
              <w:t xml:space="preserve">- </w:t>
            </w: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  <w:t>monumental</w:t>
            </w:r>
          </w:p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  <w:t>- cycle narratif</w:t>
            </w:r>
          </w:p>
        </w:tc>
      </w:tr>
      <w:tr>
        <w:trPr/>
        <w:tc>
          <w:tcPr>
            <w:tcW w:w="1410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1590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771525" cy="381000"/>
                  <wp:effectExtent l="0" t="0" r="0" b="0"/>
                  <wp:docPr id="9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tcBorders/>
            <w:shd w:fill="auto" w:val="clear"/>
          </w:tcPr>
          <w:p>
            <w:pPr>
              <w:pStyle w:val="Normal"/>
              <w:shd w:val="clear" w:color="auto" w:fill="FFFFFF"/>
              <w:spacing w:beforeAutospacing="1" w:after="0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cs="Tahoma" w:ascii="Tahoma" w:hAnsi="Tahoma"/>
                <w:color w:val="000000"/>
                <w:sz w:val="21"/>
                <w:szCs w:val="21"/>
              </w:rPr>
              <w:t>L’artiste et la société : faire œuvre face à l’histoire et à la politique.</w:t>
            </w:r>
          </w:p>
        </w:tc>
        <w:tc>
          <w:tcPr>
            <w:tcW w:w="2280" w:type="dxa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Pablo PICASSO,Guernica,1937,huile sur toile 349x777cm,Musée Reine Sofia, Madrid </w:t>
            </w:r>
          </w:p>
        </w:tc>
        <w:tc>
          <w:tcPr>
            <w:tcW w:w="65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  <w:t>Point commun : - décident d’offrir leur œuvres pour un évènement important</w:t>
            </w:r>
          </w:p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  <w:t>- dénonce un fait/ célèbre une fête</w:t>
            </w:r>
          </w:p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  <w:t>- impacté par leur entourage</w:t>
            </w:r>
          </w:p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-son ami politique Ge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or</w:t>
            </w:r>
            <w:r>
              <w:rPr>
                <w:rFonts w:ascii="Calibri" w:hAnsi="Calibri"/>
                <w:b w:val="false"/>
                <w:bCs w:val="false"/>
                <w:color w:val="006400"/>
                <w:sz w:val="26"/>
                <w:szCs w:val="26"/>
              </w:rPr>
              <w:t>ges Clemenceau</w:t>
            </w:r>
          </w:p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color w:val="00008B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color w:val="00008B"/>
                <w:sz w:val="26"/>
                <w:szCs w:val="26"/>
              </w:rPr>
              <w:t>- commande du gouvernement espagnol républicain pour une peinture murale</w:t>
            </w:r>
          </w:p>
          <w:p>
            <w:pPr>
              <w:pStyle w:val="Normal"/>
              <w:jc w:val="center"/>
              <w:rPr>
                <w:rFonts w:ascii="Calibri" w:hAnsi="Calibri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rFonts w:ascii="Calibri" w:hAnsi="Calibri"/>
                <w:b w:val="false"/>
                <w:bCs w:val="false"/>
                <w:sz w:val="26"/>
                <w:szCs w:val="26"/>
              </w:rPr>
            </w:r>
          </w:p>
        </w:tc>
      </w:tr>
      <w:tr>
        <w:trPr/>
        <w:tc>
          <w:tcPr>
            <w:tcW w:w="1410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sectPr>
      <w:type w:val="nextPage"/>
      <w:pgSz w:orient="landscape" w:w="16838" w:h="11906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1"/>
    <w:family w:val="swiss"/>
    <w:pitch w:val="variable"/>
  </w:font>
  <w:font w:name="Tahom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4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4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enInternet">
    <w:name w:val="Lien Internet"/>
    <w:basedOn w:val="DefaultParagraphFont"/>
    <w:uiPriority w:val="99"/>
    <w:semiHidden/>
    <w:unhideWhenUsed/>
    <w:rsid w:val="00784a4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784a42"/>
    <w:rPr>
      <w:color w:val="954F72" w:themeColor="followedHyperlink"/>
      <w:u w:val="single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784a4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s://youtu.be/DF0518mpByU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1109</TotalTime>
  <Application>LibreOffice/6.3.5.2$Windows_X86_64 LibreOffice_project/dd0751754f11728f69b42ee2af66670068624673</Application>
  <Pages>5</Pages>
  <Words>1105</Words>
  <Characters>5808</Characters>
  <CharactersWithSpaces>6877</CharactersWithSpaces>
  <Paragraphs>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2022-10-09T11:02:00Z</dcterms:created>
  <dc:creator>Corinne Bourdenet Vicaire</dc:creator>
  <dc:description/>
  <dc:language>fr-FR</dc:language>
  <cp:lastModifiedBy/>
  <dcterms:modified xsi:type="dcterms:W3CDTF">2022-11-22T18:02:59Z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