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1459"/>
        <w:gridCol w:w="4667"/>
        <w:gridCol w:w="3504"/>
      </w:tblGrid>
      <w:tr w:rsidR="008372F4" w14:paraId="10D56630" w14:textId="77777777">
        <w:tblPrEx>
          <w:tblCellMar>
            <w:top w:w="0" w:type="dxa"/>
            <w:left w:w="0" w:type="dxa"/>
            <w:bottom w:w="0" w:type="dxa"/>
            <w:right w:w="0" w:type="dxa"/>
          </w:tblCellMar>
        </w:tblPrEx>
        <w:trPr>
          <w:trHeight w:val="295"/>
        </w:trPr>
        <w:tc>
          <w:tcPr>
            <w:tcW w:w="963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3419FA" w14:textId="77777777" w:rsidR="008372F4" w:rsidRDefault="00000000">
            <w:pPr>
              <w:pStyle w:val="Styledetableau2"/>
              <w:jc w:val="center"/>
            </w:pPr>
            <w:r>
              <w:rPr>
                <w:b/>
                <w:bCs/>
              </w:rPr>
              <w:t>MATERAILITE</w:t>
            </w:r>
          </w:p>
        </w:tc>
      </w:tr>
      <w:tr w:rsidR="008372F4" w:rsidRPr="00F75C45" w14:paraId="437308CD" w14:textId="77777777">
        <w:tblPrEx>
          <w:tblCellMar>
            <w:top w:w="0" w:type="dxa"/>
            <w:left w:w="0" w:type="dxa"/>
            <w:bottom w:w="0" w:type="dxa"/>
            <w:right w:w="0" w:type="dxa"/>
          </w:tblCellMar>
        </w:tblPrEx>
        <w:trPr>
          <w:trHeight w:val="295"/>
        </w:trPr>
        <w:tc>
          <w:tcPr>
            <w:tcW w:w="9630" w:type="dxa"/>
            <w:gridSpan w:val="3"/>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5BDF529" w14:textId="273A71D6" w:rsidR="008372F4" w:rsidRPr="00F75C45" w:rsidRDefault="00F75C45">
            <w:pPr>
              <w:pStyle w:val="Styledetableau2"/>
            </w:pPr>
            <w:r w:rsidRPr="00F75C45">
              <w:rPr>
                <w:i/>
                <w:iCs/>
              </w:rPr>
              <w:t xml:space="preserve">La </w:t>
            </w:r>
            <w:r>
              <w:rPr>
                <w:i/>
                <w:iCs/>
              </w:rPr>
              <w:t>N</w:t>
            </w:r>
            <w:r w:rsidRPr="00F75C45">
              <w:rPr>
                <w:i/>
                <w:iCs/>
              </w:rPr>
              <w:t xml:space="preserve">ature </w:t>
            </w:r>
            <w:r>
              <w:rPr>
                <w:i/>
                <w:iCs/>
              </w:rPr>
              <w:t>M</w:t>
            </w:r>
            <w:r w:rsidRPr="00F75C45">
              <w:rPr>
                <w:i/>
                <w:iCs/>
              </w:rPr>
              <w:t xml:space="preserve">orte à la </w:t>
            </w:r>
            <w:r>
              <w:rPr>
                <w:i/>
                <w:iCs/>
              </w:rPr>
              <w:t>C</w:t>
            </w:r>
            <w:r w:rsidRPr="00F75C45">
              <w:rPr>
                <w:i/>
                <w:iCs/>
              </w:rPr>
              <w:t xml:space="preserve">haise </w:t>
            </w:r>
            <w:r>
              <w:rPr>
                <w:i/>
                <w:iCs/>
              </w:rPr>
              <w:t>C</w:t>
            </w:r>
            <w:r w:rsidRPr="00F75C45">
              <w:rPr>
                <w:i/>
                <w:iCs/>
              </w:rPr>
              <w:t>année</w:t>
            </w:r>
            <w:r>
              <w:t>, Pablo Picasso, 1912</w:t>
            </w:r>
          </w:p>
        </w:tc>
      </w:tr>
      <w:tr w:rsidR="008372F4" w14:paraId="0F1CE105" w14:textId="77777777" w:rsidTr="00F7085C">
        <w:tblPrEx>
          <w:tblCellMar>
            <w:top w:w="0" w:type="dxa"/>
            <w:left w:w="0" w:type="dxa"/>
            <w:bottom w:w="0" w:type="dxa"/>
            <w:right w:w="0" w:type="dxa"/>
          </w:tblCellMar>
        </w:tblPrEx>
        <w:trPr>
          <w:trHeight w:val="3121"/>
        </w:trPr>
        <w:tc>
          <w:tcPr>
            <w:tcW w:w="6126"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257152" w14:textId="4C7FB3E9" w:rsidR="008372F4" w:rsidRDefault="00000000">
            <w:pPr>
              <w:pStyle w:val="Styledetableau2"/>
            </w:pPr>
            <w:r>
              <w:t>Croquis de l’</w:t>
            </w:r>
            <w:r w:rsidR="00E1105C">
              <w:t>œuvre</w:t>
            </w:r>
            <w:r>
              <w:t xml:space="preserve"> : rendu de la matérialité</w:t>
            </w:r>
          </w:p>
          <w:p w14:paraId="419FC67A" w14:textId="305BCDCC" w:rsidR="008372F4" w:rsidRDefault="00F7085C" w:rsidP="00F7085C">
            <w:pPr>
              <w:pStyle w:val="NormalWeb"/>
            </w:pPr>
            <w:r>
              <w:rPr>
                <w:noProof/>
              </w:rPr>
              <w:drawing>
                <wp:inline distT="0" distB="0" distL="0" distR="0" wp14:anchorId="4CF2E985" wp14:editId="76CE1D7A">
                  <wp:extent cx="3755683" cy="3755683"/>
                  <wp:effectExtent l="0" t="0" r="0" b="0"/>
                  <wp:docPr id="83688437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72811" cy="3772811"/>
                          </a:xfrm>
                          <a:prstGeom prst="rect">
                            <a:avLst/>
                          </a:prstGeom>
                          <a:noFill/>
                          <a:ln>
                            <a:noFill/>
                          </a:ln>
                        </pic:spPr>
                      </pic:pic>
                    </a:graphicData>
                  </a:graphic>
                </wp:inline>
              </w:drawing>
            </w:r>
          </w:p>
        </w:tc>
        <w:tc>
          <w:tcPr>
            <w:tcW w:w="35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98E000D" w14:textId="7420EBDB" w:rsidR="008372F4" w:rsidRDefault="00000000">
            <w:pPr>
              <w:pStyle w:val="Styledetableau2"/>
              <w:rPr>
                <w:rFonts w:ascii="Helvetica" w:eastAsia="Helvetica" w:hAnsi="Helvetica" w:cs="Helvetica"/>
                <w:b/>
                <w:bCs/>
              </w:rPr>
            </w:pPr>
            <w:r>
              <w:rPr>
                <w:rFonts w:ascii="Helvetica" w:hAnsi="Helvetica"/>
                <w:b/>
                <w:bCs/>
              </w:rPr>
              <w:t>Présentation de l</w:t>
            </w:r>
            <w:r>
              <w:rPr>
                <w:rFonts w:ascii="Helvetica" w:hAnsi="Helvetica"/>
                <w:b/>
                <w:bCs/>
                <w:rtl/>
              </w:rPr>
              <w:t>’</w:t>
            </w:r>
            <w:r w:rsidR="00E1105C">
              <w:rPr>
                <w:rFonts w:ascii="Helvetica" w:hAnsi="Helvetica"/>
                <w:b/>
                <w:bCs/>
              </w:rPr>
              <w:t>œuvre</w:t>
            </w:r>
            <w:r>
              <w:rPr>
                <w:rFonts w:ascii="Helvetica" w:hAnsi="Helvetica"/>
                <w:b/>
                <w:bCs/>
              </w:rPr>
              <w:t xml:space="preserve"> :</w:t>
            </w:r>
          </w:p>
          <w:p w14:paraId="16F7AA62" w14:textId="56080F58" w:rsidR="00527D20" w:rsidRPr="00527D20" w:rsidRDefault="00527D20" w:rsidP="00527D20">
            <w:pPr>
              <w:pStyle w:val="Styledetableau2"/>
              <w:rPr>
                <w:rFonts w:ascii="Helvetica" w:hAnsi="Helvetica"/>
                <w:color w:val="324A24"/>
              </w:rPr>
            </w:pPr>
            <w:r w:rsidRPr="00527D20">
              <w:rPr>
                <w:rFonts w:ascii="Helvetica" w:hAnsi="Helvetica"/>
                <w:color w:val="324A24"/>
              </w:rPr>
              <w:t>-</w:t>
            </w:r>
            <w:r>
              <w:rPr>
                <w:rFonts w:ascii="Helvetica" w:hAnsi="Helvetica"/>
                <w:color w:val="324A24"/>
              </w:rPr>
              <w:t xml:space="preserve"> </w:t>
            </w:r>
            <w:r w:rsidRPr="00527D20">
              <w:rPr>
                <w:rFonts w:ascii="Helvetica" w:hAnsi="Helvetica"/>
                <w:color w:val="324A24"/>
              </w:rPr>
              <w:t>Nature de l'œuvre / domaine : Peinture</w:t>
            </w:r>
          </w:p>
          <w:p w14:paraId="36503EA1" w14:textId="77777777" w:rsidR="00527D20" w:rsidRPr="00527D20" w:rsidRDefault="00527D20" w:rsidP="00527D20">
            <w:pPr>
              <w:pStyle w:val="Styledetableau2"/>
              <w:rPr>
                <w:rFonts w:ascii="Helvetica" w:hAnsi="Helvetica"/>
                <w:color w:val="324A24"/>
              </w:rPr>
            </w:pPr>
            <w:r w:rsidRPr="00527D20">
              <w:rPr>
                <w:rFonts w:ascii="Helvetica" w:hAnsi="Helvetica"/>
                <w:color w:val="324A24"/>
              </w:rPr>
              <w:t>- Dimensions et format : Variables, généralement de taille moyenne à grande</w:t>
            </w:r>
          </w:p>
          <w:p w14:paraId="3F7F75D6" w14:textId="77777777" w:rsidR="00527D20" w:rsidRPr="00527D20" w:rsidRDefault="00527D20" w:rsidP="00527D20">
            <w:pPr>
              <w:pStyle w:val="Styledetableau2"/>
              <w:rPr>
                <w:rFonts w:ascii="Helvetica" w:hAnsi="Helvetica"/>
                <w:color w:val="324A24"/>
              </w:rPr>
            </w:pPr>
            <w:r w:rsidRPr="00527D20">
              <w:rPr>
                <w:rFonts w:ascii="Helvetica" w:hAnsi="Helvetica"/>
                <w:color w:val="324A24"/>
              </w:rPr>
              <w:t>- Support : Toile</w:t>
            </w:r>
          </w:p>
          <w:p w14:paraId="17D87A4C" w14:textId="77777777" w:rsidR="00527D20" w:rsidRPr="00527D20" w:rsidRDefault="00527D20" w:rsidP="00527D20">
            <w:pPr>
              <w:pStyle w:val="Styledetableau2"/>
              <w:rPr>
                <w:rFonts w:ascii="Helvetica" w:hAnsi="Helvetica"/>
                <w:color w:val="324A24"/>
              </w:rPr>
            </w:pPr>
            <w:r w:rsidRPr="00527D20">
              <w:rPr>
                <w:rFonts w:ascii="Helvetica" w:hAnsi="Helvetica"/>
                <w:color w:val="324A24"/>
              </w:rPr>
              <w:t>- Technique : Peinture à l'huile ou acrylique</w:t>
            </w:r>
          </w:p>
          <w:p w14:paraId="66D86A22" w14:textId="77777777" w:rsidR="00527D20" w:rsidRPr="00527D20" w:rsidRDefault="00527D20" w:rsidP="00527D20">
            <w:pPr>
              <w:pStyle w:val="Styledetableau2"/>
              <w:rPr>
                <w:rFonts w:ascii="Helvetica" w:hAnsi="Helvetica"/>
                <w:color w:val="324A24"/>
              </w:rPr>
            </w:pPr>
            <w:r w:rsidRPr="00527D20">
              <w:rPr>
                <w:rFonts w:ascii="Helvetica" w:hAnsi="Helvetica"/>
                <w:color w:val="324A24"/>
              </w:rPr>
              <w:t>- Période : Cubisme (1912)</w:t>
            </w:r>
          </w:p>
          <w:p w14:paraId="25FED67C" w14:textId="176C80DB" w:rsidR="008372F4" w:rsidRDefault="00527D20" w:rsidP="00527D20">
            <w:pPr>
              <w:pStyle w:val="Styledetableau2"/>
            </w:pPr>
            <w:r w:rsidRPr="00527D20">
              <w:rPr>
                <w:rFonts w:ascii="Helvetica" w:hAnsi="Helvetica"/>
                <w:color w:val="324A24"/>
              </w:rPr>
              <w:t>- Genre : Nature morte</w:t>
            </w:r>
          </w:p>
          <w:p w14:paraId="3C771655" w14:textId="77777777" w:rsidR="008372F4" w:rsidRDefault="008372F4">
            <w:pPr>
              <w:pStyle w:val="Styledetableau2"/>
            </w:pPr>
          </w:p>
          <w:p w14:paraId="3FA09910" w14:textId="77777777" w:rsidR="008372F4" w:rsidRDefault="008372F4">
            <w:pPr>
              <w:pStyle w:val="Styledetableau2"/>
            </w:pPr>
          </w:p>
        </w:tc>
      </w:tr>
      <w:tr w:rsidR="008372F4" w:rsidRPr="00FB3225" w14:paraId="61B48C51" w14:textId="77777777" w:rsidTr="00F7085C">
        <w:tblPrEx>
          <w:tblCellMar>
            <w:top w:w="0" w:type="dxa"/>
            <w:left w:w="0" w:type="dxa"/>
            <w:bottom w:w="0" w:type="dxa"/>
            <w:right w:w="0" w:type="dxa"/>
          </w:tblCellMar>
        </w:tblPrEx>
        <w:trPr>
          <w:trHeight w:val="3077"/>
        </w:trPr>
        <w:tc>
          <w:tcPr>
            <w:tcW w:w="6126" w:type="dxa"/>
            <w:gridSpan w:val="2"/>
            <w:vMerge/>
            <w:tcBorders>
              <w:top w:val="single" w:sz="2" w:space="0" w:color="000000"/>
              <w:left w:val="single" w:sz="2" w:space="0" w:color="000000"/>
              <w:bottom w:val="single" w:sz="2" w:space="0" w:color="000000"/>
              <w:right w:val="single" w:sz="2" w:space="0" w:color="000000"/>
            </w:tcBorders>
            <w:shd w:val="clear" w:color="auto" w:fill="auto"/>
          </w:tcPr>
          <w:p w14:paraId="61F12700" w14:textId="77777777" w:rsidR="008372F4" w:rsidRDefault="008372F4"/>
        </w:tc>
        <w:tc>
          <w:tcPr>
            <w:tcW w:w="350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B720EF3" w14:textId="0026EFAF" w:rsidR="008372F4" w:rsidRDefault="00D5037A" w:rsidP="008C4DF5">
            <w:pPr>
              <w:pStyle w:val="NormalWeb"/>
            </w:pPr>
            <w:r>
              <w:rPr>
                <w:noProof/>
                <w:bdr w:val="nil"/>
              </w:rPr>
              <mc:AlternateContent>
                <mc:Choice Requires="wps">
                  <w:drawing>
                    <wp:anchor distT="0" distB="0" distL="114300" distR="114300" simplePos="0" relativeHeight="251659264" behindDoc="0" locked="0" layoutInCell="1" allowOverlap="1" wp14:anchorId="70C5BFF9" wp14:editId="22EC387B">
                      <wp:simplePos x="0" y="0"/>
                      <wp:positionH relativeFrom="column">
                        <wp:posOffset>265987</wp:posOffset>
                      </wp:positionH>
                      <wp:positionV relativeFrom="paragraph">
                        <wp:posOffset>645665</wp:posOffset>
                      </wp:positionV>
                      <wp:extent cx="205274" cy="283651"/>
                      <wp:effectExtent l="38100" t="38100" r="23495" b="21590"/>
                      <wp:wrapNone/>
                      <wp:docPr id="700089588" name="Connecteur droit avec flèche 2"/>
                      <wp:cNvGraphicFramePr/>
                      <a:graphic xmlns:a="http://schemas.openxmlformats.org/drawingml/2006/main">
                        <a:graphicData uri="http://schemas.microsoft.com/office/word/2010/wordprocessingShape">
                          <wps:wsp>
                            <wps:cNvCnPr/>
                            <wps:spPr>
                              <a:xfrm flipH="1" flipV="1">
                                <a:off x="0" y="0"/>
                                <a:ext cx="205274" cy="283651"/>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type w14:anchorId="4C10A3AE" id="_x0000_t32" coordsize="21600,21600" o:spt="32" o:oned="t" path="m,l21600,21600e" filled="f">
                      <v:path arrowok="t" fillok="f" o:connecttype="none"/>
                      <o:lock v:ext="edit" shapetype="t"/>
                    </v:shapetype>
                    <v:shape id="Connecteur droit avec flèche 2" o:spid="_x0000_s1026" type="#_x0000_t32" style="position:absolute;margin-left:20.95pt;margin-top:50.85pt;width:16.15pt;height:22.35pt;flip:x 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" strokecolor="#16e7cf [3205]" strokeweight="2pt">
                      <v:stroke endarrow="block"/>
                    </v:shape>
                  </w:pict>
                </mc:Fallback>
              </mc:AlternateContent>
            </w:r>
            <w:r w:rsidR="008C4DF5">
              <w:rPr>
                <w:noProof/>
              </w:rPr>
              <w:drawing>
                <wp:anchor distT="0" distB="0" distL="114300" distR="114300" simplePos="0" relativeHeight="251658240" behindDoc="0" locked="0" layoutInCell="1" allowOverlap="1" wp14:anchorId="6CF98D49" wp14:editId="159A9256">
                  <wp:simplePos x="0" y="0"/>
                  <wp:positionH relativeFrom="column">
                    <wp:posOffset>-635</wp:posOffset>
                  </wp:positionH>
                  <wp:positionV relativeFrom="paragraph">
                    <wp:posOffset>3175</wp:posOffset>
                  </wp:positionV>
                  <wp:extent cx="1997075" cy="1337945"/>
                  <wp:effectExtent l="0" t="0" r="3175" b="0"/>
                  <wp:wrapSquare wrapText="bothSides"/>
                  <wp:docPr id="21132738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7075" cy="1337945"/>
                          </a:xfrm>
                          <a:prstGeom prst="rect">
                            <a:avLst/>
                          </a:prstGeom>
                          <a:noFill/>
                          <a:ln>
                            <a:noFill/>
                          </a:ln>
                        </pic:spPr>
                      </pic:pic>
                    </a:graphicData>
                  </a:graphic>
                </wp:anchor>
              </w:drawing>
            </w:r>
            <w:r w:rsidR="008C4DF5" w:rsidRPr="008C4DF5">
              <w:rPr>
                <w:rStyle w:val="lev"/>
                <w:rFonts w:ascii="Open Sans" w:hAnsi="Open Sans" w:cs="Open Sans"/>
                <w:sz w:val="11"/>
                <w:szCs w:val="11"/>
                <w:bdr w:val="none" w:sz="0" w:space="0" w:color="auto" w:frame="1"/>
                <w:shd w:val="clear" w:color="auto" w:fill="FFFFFF"/>
              </w:rPr>
              <w:t>©Anne-</w:t>
            </w:r>
            <w:proofErr w:type="spellStart"/>
            <w:r w:rsidR="008C4DF5" w:rsidRPr="008C4DF5">
              <w:rPr>
                <w:rStyle w:val="lev"/>
                <w:rFonts w:ascii="Open Sans" w:hAnsi="Open Sans" w:cs="Open Sans"/>
                <w:sz w:val="11"/>
                <w:szCs w:val="11"/>
                <w:bdr w:val="none" w:sz="0" w:space="0" w:color="auto" w:frame="1"/>
                <w:shd w:val="clear" w:color="auto" w:fill="FFFFFF"/>
              </w:rPr>
              <w:t>Fréderique</w:t>
            </w:r>
            <w:proofErr w:type="spellEnd"/>
            <w:r w:rsidR="008C4DF5" w:rsidRPr="008C4DF5">
              <w:rPr>
                <w:rStyle w:val="lev"/>
                <w:rFonts w:ascii="Open Sans" w:hAnsi="Open Sans" w:cs="Open Sans"/>
                <w:sz w:val="11"/>
                <w:szCs w:val="11"/>
                <w:bdr w:val="none" w:sz="0" w:space="0" w:color="auto" w:frame="1"/>
                <w:shd w:val="clear" w:color="auto" w:fill="FFFFFF"/>
              </w:rPr>
              <w:t xml:space="preserve"> Fer,</w:t>
            </w:r>
            <w:r w:rsidR="008C4DF5" w:rsidRPr="008C4DF5">
              <w:rPr>
                <w:rStyle w:val="lev"/>
                <w:rFonts w:ascii="Open Sans" w:hAnsi="Open Sans" w:cs="Open Sans"/>
                <w:sz w:val="11"/>
                <w:szCs w:val="11"/>
                <w:bdr w:val="none" w:sz="0" w:space="0" w:color="auto" w:frame="1"/>
                <w:shd w:val="clear" w:color="auto" w:fill="FFFFFF"/>
              </w:rPr>
              <w:t xml:space="preserve"> </w:t>
            </w:r>
            <w:r w:rsidR="008C4DF5" w:rsidRPr="008C4DF5">
              <w:rPr>
                <w:rFonts w:ascii="Open Sans" w:hAnsi="Open Sans" w:cs="Open Sans"/>
                <w:color w:val="3F3F46"/>
                <w:sz w:val="11"/>
                <w:szCs w:val="11"/>
                <w:shd w:val="clear" w:color="auto" w:fill="FFFFFF"/>
              </w:rPr>
              <w:t>présentation presse, le 6 mars 2023.</w:t>
            </w:r>
          </w:p>
        </w:tc>
      </w:tr>
      <w:tr w:rsidR="008372F4" w:rsidRPr="00FB3225" w14:paraId="68AF8463" w14:textId="77777777" w:rsidTr="00F7085C">
        <w:tblPrEx>
          <w:tblCellMar>
            <w:top w:w="0" w:type="dxa"/>
            <w:left w:w="0" w:type="dxa"/>
            <w:bottom w:w="0" w:type="dxa"/>
            <w:right w:w="0" w:type="dxa"/>
          </w:tblCellMar>
        </w:tblPrEx>
        <w:trPr>
          <w:trHeight w:val="1258"/>
        </w:trPr>
        <w:tc>
          <w:tcPr>
            <w:tcW w:w="14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77EBFF" w14:textId="77777777" w:rsidR="008372F4" w:rsidRDefault="00000000">
            <w:pPr>
              <w:pStyle w:val="Styledetableau2"/>
              <w:rPr>
                <w:rFonts w:ascii="Helvetica" w:eastAsia="Helvetica" w:hAnsi="Helvetica" w:cs="Helvetica"/>
                <w:b/>
                <w:bCs/>
              </w:rPr>
            </w:pPr>
            <w:r>
              <w:rPr>
                <w:rFonts w:ascii="Helvetica" w:hAnsi="Helvetica"/>
                <w:b/>
                <w:bCs/>
              </w:rPr>
              <w:t>Technique</w:t>
            </w:r>
          </w:p>
          <w:p w14:paraId="21A5770C" w14:textId="77777777" w:rsidR="008372F4" w:rsidRDefault="00000000">
            <w:pPr>
              <w:pStyle w:val="Styledetableau2"/>
              <w:rPr>
                <w:rFonts w:ascii="Helvetica" w:eastAsia="Helvetica" w:hAnsi="Helvetica" w:cs="Helvetica"/>
                <w:b/>
                <w:bCs/>
              </w:rPr>
            </w:pPr>
            <w:r>
              <w:rPr>
                <w:rFonts w:ascii="Helvetica" w:hAnsi="Helvetica"/>
                <w:b/>
                <w:bCs/>
              </w:rPr>
              <w:t>Matériau/ matière</w:t>
            </w:r>
          </w:p>
          <w:p w14:paraId="63D4BFEE" w14:textId="77777777" w:rsidR="008372F4" w:rsidRDefault="00000000">
            <w:pPr>
              <w:pStyle w:val="Styledetableau2"/>
              <w:rPr>
                <w:rFonts w:ascii="Helvetica" w:eastAsia="Helvetica" w:hAnsi="Helvetica" w:cs="Helvetica"/>
                <w:b/>
                <w:bCs/>
              </w:rPr>
            </w:pPr>
            <w:r>
              <w:rPr>
                <w:rFonts w:ascii="Helvetica" w:hAnsi="Helvetica"/>
                <w:b/>
                <w:bCs/>
              </w:rPr>
              <w:t>Outils</w:t>
            </w:r>
          </w:p>
          <w:p w14:paraId="73D3EC9E" w14:textId="77777777" w:rsidR="008372F4" w:rsidRDefault="00000000">
            <w:pPr>
              <w:pStyle w:val="Styledetableau2"/>
            </w:pPr>
            <w:r>
              <w:rPr>
                <w:rFonts w:ascii="Helvetica" w:hAnsi="Helvetica"/>
                <w:b/>
                <w:bCs/>
              </w:rPr>
              <w:t xml:space="preserve">Gestes </w:t>
            </w:r>
          </w:p>
        </w:tc>
        <w:tc>
          <w:tcPr>
            <w:tcW w:w="8171"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EF1EF72" w14:textId="77777777" w:rsidR="00527D20" w:rsidRDefault="00527D20" w:rsidP="00527D20">
            <w:pPr>
              <w:pStyle w:val="Styledetableau2"/>
            </w:pPr>
            <w:r>
              <w:t>- Technique : Cubisme, avec utilisation de formes géométriques et lignes angulaires.</w:t>
            </w:r>
          </w:p>
          <w:p w14:paraId="527BE864" w14:textId="77777777" w:rsidR="00527D20" w:rsidRDefault="00527D20" w:rsidP="00527D20">
            <w:pPr>
              <w:pStyle w:val="Styledetableau2"/>
            </w:pPr>
            <w:r>
              <w:t>- Matériau/matière : Peinture à l'huile ou acrylique appliquée sur toile.</w:t>
            </w:r>
          </w:p>
          <w:p w14:paraId="768F2775" w14:textId="77777777" w:rsidR="00527D20" w:rsidRDefault="00527D20" w:rsidP="00527D20">
            <w:pPr>
              <w:pStyle w:val="Styledetableau2"/>
            </w:pPr>
            <w:r>
              <w:t>- Outils : Pinceaux, éventuellement spatules ou couteaux pour créer des textures.</w:t>
            </w:r>
          </w:p>
          <w:p w14:paraId="6099005B" w14:textId="56159A71" w:rsidR="008372F4" w:rsidRDefault="00527D20">
            <w:pPr>
              <w:pStyle w:val="Styledetableau2"/>
            </w:pPr>
            <w:r>
              <w:t>- Gestes : Application de la peinture avec des gestes variés, incluant des coups de pinceau, des étalages, et des superpositions pour obtenir des effets de profondeur et de texture.</w:t>
            </w:r>
          </w:p>
        </w:tc>
      </w:tr>
      <w:tr w:rsidR="008372F4" w:rsidRPr="00FB3225" w14:paraId="21465C7A" w14:textId="77777777" w:rsidTr="00F7085C">
        <w:tblPrEx>
          <w:tblCellMar>
            <w:top w:w="0" w:type="dxa"/>
            <w:left w:w="0" w:type="dxa"/>
            <w:bottom w:w="0" w:type="dxa"/>
            <w:right w:w="0" w:type="dxa"/>
          </w:tblCellMar>
        </w:tblPrEx>
        <w:trPr>
          <w:trHeight w:val="1201"/>
        </w:trPr>
        <w:tc>
          <w:tcPr>
            <w:tcW w:w="145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076C84C" w14:textId="1494A3F9" w:rsidR="008372F4" w:rsidRDefault="00000000">
            <w:pPr>
              <w:pStyle w:val="Styledetableau2"/>
            </w:pPr>
            <w:r>
              <w:rPr>
                <w:b/>
                <w:bCs/>
              </w:rPr>
              <w:t>Glossaire matérialité en lien avec l’</w:t>
            </w:r>
            <w:r w:rsidR="00E1105C">
              <w:rPr>
                <w:b/>
                <w:bCs/>
              </w:rPr>
              <w:t>œuvre</w:t>
            </w:r>
            <w:r>
              <w:rPr>
                <w:b/>
                <w:bCs/>
              </w:rPr>
              <w:t xml:space="preserve"> </w:t>
            </w:r>
          </w:p>
        </w:tc>
        <w:tc>
          <w:tcPr>
            <w:tcW w:w="8171" w:type="dxa"/>
            <w:gridSpan w:val="2"/>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A0D0A06" w14:textId="144E4021" w:rsidR="008372F4" w:rsidRDefault="00527D20">
            <w:pPr>
              <w:pStyle w:val="Styledetableau2"/>
            </w:pPr>
            <w:r w:rsidRPr="00527D20">
              <w:t>Dans "La Nature Morte à la Chaise Cannée" de Picasso, la matérialité se réfère à ce dont l'œuvre est faite, comme la toile et la peinture appliquée avec des pinceaux. Cela crée des textures et des formes tangibles. Picasso déforme et décompose la forme de la chaise, puis la reconstruit d'une manière novatrice. Cette approche invite les spectateurs à réfléchir à l'art et à voir le monde différemment. En combinant les choix matériels avec des techniques innovantes, l'œuvre devient une expérience physique et intellectuelle, engageant les sens et l'esprit des observateurs.</w:t>
            </w:r>
          </w:p>
        </w:tc>
      </w:tr>
      <w:tr w:rsidR="008372F4" w:rsidRPr="00FB3225" w14:paraId="03E911F2" w14:textId="77777777" w:rsidTr="00F7085C">
        <w:tblPrEx>
          <w:tblCellMar>
            <w:top w:w="0" w:type="dxa"/>
            <w:left w:w="0" w:type="dxa"/>
            <w:bottom w:w="0" w:type="dxa"/>
            <w:right w:w="0" w:type="dxa"/>
          </w:tblCellMar>
        </w:tblPrEx>
        <w:trPr>
          <w:trHeight w:val="3317"/>
        </w:trPr>
        <w:tc>
          <w:tcPr>
            <w:tcW w:w="14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56750F" w14:textId="6DFAB069" w:rsidR="008372F4" w:rsidRDefault="00000000">
            <w:pPr>
              <w:pStyle w:val="Styledetableau2"/>
            </w:pPr>
            <w:r>
              <w:rPr>
                <w:b/>
                <w:bCs/>
              </w:rPr>
              <w:t>Modernité de l’</w:t>
            </w:r>
            <w:r w:rsidR="00E1105C">
              <w:rPr>
                <w:b/>
                <w:bCs/>
              </w:rPr>
              <w:t>œuvre</w:t>
            </w:r>
          </w:p>
          <w:p w14:paraId="46D597E4" w14:textId="765082D6" w:rsidR="008372F4" w:rsidRDefault="00000000">
            <w:pPr>
              <w:pStyle w:val="Styledetableau2"/>
            </w:pPr>
            <w:r>
              <w:rPr>
                <w:b/>
                <w:bCs/>
              </w:rPr>
              <w:t>Ancrage de l’</w:t>
            </w:r>
            <w:r w:rsidR="00E1105C">
              <w:rPr>
                <w:b/>
                <w:bCs/>
              </w:rPr>
              <w:t>œuvre</w:t>
            </w:r>
            <w:r>
              <w:rPr>
                <w:b/>
                <w:bCs/>
              </w:rPr>
              <w:t xml:space="preserve"> dans l’histoire de la matérialité en art</w:t>
            </w:r>
          </w:p>
        </w:tc>
        <w:tc>
          <w:tcPr>
            <w:tcW w:w="8171"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D53D65" w14:textId="77777777" w:rsidR="00527D20" w:rsidRDefault="00527D20" w:rsidP="00527D20">
            <w:pPr>
              <w:pStyle w:val="Styledetableau2"/>
            </w:pPr>
            <w:r>
              <w:t>Modernité de l’œuvre :</w:t>
            </w:r>
          </w:p>
          <w:p w14:paraId="0DD7A519" w14:textId="77777777" w:rsidR="008372F4" w:rsidRDefault="00527D20" w:rsidP="00527D20">
            <w:pPr>
              <w:pStyle w:val="Styledetableau2"/>
            </w:pPr>
            <w:r>
              <w:t>"</w:t>
            </w:r>
            <w:r>
              <w:t>La</w:t>
            </w:r>
            <w:r>
              <w:t xml:space="preserve"> Nature Morte à la Chaise Cannée" de Picasso est considérée comme moderne en raison de sa rupture avec les conventions artistiques traditionnelles. En déformant les formes et en explorant de nouvelles perspectives, Picasso défie les normes établies de représentation artistique. Son utilisation du cubisme, mouvement novateur à l'époque, reflète une approche radicalement nouvelle de l'art, remettant en question les notions conventionnelles de réalisme et de représentation.</w:t>
            </w:r>
          </w:p>
          <w:p w14:paraId="761A5C76" w14:textId="77777777" w:rsidR="00E1105C" w:rsidRDefault="00E1105C" w:rsidP="00E1105C">
            <w:pPr>
              <w:pStyle w:val="Styledetableau2"/>
            </w:pPr>
          </w:p>
          <w:p w14:paraId="6C5A1B71" w14:textId="77777777" w:rsidR="00E1105C" w:rsidRDefault="00E1105C" w:rsidP="00E1105C">
            <w:pPr>
              <w:pStyle w:val="Styledetableau2"/>
            </w:pPr>
            <w:r>
              <w:t>Ancrage de l’œuvre dans l’histoire de la matérialité en art :</w:t>
            </w:r>
          </w:p>
          <w:p w14:paraId="10B17BDA" w14:textId="62917A79" w:rsidR="00E1105C" w:rsidRDefault="00E1105C" w:rsidP="00E1105C">
            <w:pPr>
              <w:pStyle w:val="Styledetableau2"/>
            </w:pPr>
            <w:r>
              <w:t>L’œuvre</w:t>
            </w:r>
            <w:r>
              <w:t xml:space="preserve"> de Picasso contribue à l'évolution de la matérialité en art en explorant de nouvelles façons d'utiliser les matériaux traditionnels comme la peinture à l'huile ou acrylique sur toile. En déformant les formes et en expérimentant avec les textures, Picasso repousse les limites de l'expression artistique, ouvrant la voie à de nouvelles interprétations et approches artistiques.</w:t>
            </w:r>
          </w:p>
        </w:tc>
      </w:tr>
    </w:tbl>
    <w:p w14:paraId="1F6229C9" w14:textId="77777777" w:rsidR="008372F4" w:rsidRDefault="008372F4">
      <w:pPr>
        <w:pStyle w:val="Corps"/>
      </w:pPr>
    </w:p>
    <w:sectPr w:rsidR="008372F4">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5C2BE" w14:textId="77777777" w:rsidR="00026777" w:rsidRDefault="00026777">
      <w:r>
        <w:separator/>
      </w:r>
    </w:p>
  </w:endnote>
  <w:endnote w:type="continuationSeparator" w:id="0">
    <w:p w14:paraId="787B78DF" w14:textId="77777777" w:rsidR="00026777" w:rsidRDefault="00026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roman"/>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902A" w14:textId="77777777" w:rsidR="008372F4" w:rsidRDefault="008372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9D3CC" w14:textId="77777777" w:rsidR="00026777" w:rsidRDefault="00026777">
      <w:r>
        <w:separator/>
      </w:r>
    </w:p>
  </w:footnote>
  <w:footnote w:type="continuationSeparator" w:id="0">
    <w:p w14:paraId="7F1F1904" w14:textId="77777777" w:rsidR="00026777" w:rsidRDefault="00026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C7C80" w14:textId="77777777" w:rsidR="008372F4" w:rsidRDefault="008372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94163E"/>
    <w:multiLevelType w:val="hybridMultilevel"/>
    <w:tmpl w:val="E2E64A5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782721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2F4"/>
    <w:rsid w:val="00026777"/>
    <w:rsid w:val="00527D20"/>
    <w:rsid w:val="008372F4"/>
    <w:rsid w:val="008C4DF5"/>
    <w:rsid w:val="00D5037A"/>
    <w:rsid w:val="00E1105C"/>
    <w:rsid w:val="00F7085C"/>
    <w:rsid w:val="00F75C45"/>
    <w:rsid w:val="00FB32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4A2A7"/>
  <w15:docId w15:val="{6801B2B6-7C3E-4DE5-9119-09FB31FB7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Styledetableau2">
    <w:name w:val="Style de tableau 2"/>
    <w:rPr>
      <w:rFonts w:ascii="Helvetica Neue" w:hAnsi="Helvetica Neue" w:cs="Arial Unicode MS"/>
      <w:color w:val="000000"/>
      <w14:textOutline w14:w="0" w14:cap="flat" w14:cmpd="sng" w14:algn="ctr">
        <w14:noFill/>
        <w14:prstDash w14:val="solid"/>
        <w14:bevel/>
      </w14:textOutline>
    </w:rPr>
  </w:style>
  <w:style w:type="paragraph" w:styleId="Rvision">
    <w:name w:val="Revision"/>
    <w:hidden/>
    <w:uiPriority w:val="99"/>
    <w:semiHidden/>
    <w:rsid w:val="00FB322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NormalWeb">
    <w:name w:val="Normal (Web)"/>
    <w:basedOn w:val="Normal"/>
    <w:uiPriority w:val="99"/>
    <w:unhideWhenUsed/>
    <w:rsid w:val="008C4DF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character" w:styleId="lev">
    <w:name w:val="Strong"/>
    <w:basedOn w:val="Policepardfaut"/>
    <w:uiPriority w:val="22"/>
    <w:qFormat/>
    <w:rsid w:val="008C4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819769">
      <w:bodyDiv w:val="1"/>
      <w:marLeft w:val="0"/>
      <w:marRight w:val="0"/>
      <w:marTop w:val="0"/>
      <w:marBottom w:val="0"/>
      <w:divBdr>
        <w:top w:val="none" w:sz="0" w:space="0" w:color="auto"/>
        <w:left w:val="none" w:sz="0" w:space="0" w:color="auto"/>
        <w:bottom w:val="none" w:sz="0" w:space="0" w:color="auto"/>
        <w:right w:val="none" w:sz="0" w:space="0" w:color="auto"/>
      </w:divBdr>
    </w:div>
    <w:div w:id="550845677">
      <w:bodyDiv w:val="1"/>
      <w:marLeft w:val="0"/>
      <w:marRight w:val="0"/>
      <w:marTop w:val="0"/>
      <w:marBottom w:val="0"/>
      <w:divBdr>
        <w:top w:val="none" w:sz="0" w:space="0" w:color="auto"/>
        <w:left w:val="none" w:sz="0" w:space="0" w:color="auto"/>
        <w:bottom w:val="none" w:sz="0" w:space="0" w:color="auto"/>
        <w:right w:val="none" w:sz="0" w:space="0" w:color="auto"/>
      </w:divBdr>
    </w:div>
    <w:div w:id="1401514846">
      <w:bodyDiv w:val="1"/>
      <w:marLeft w:val="0"/>
      <w:marRight w:val="0"/>
      <w:marTop w:val="0"/>
      <w:marBottom w:val="0"/>
      <w:divBdr>
        <w:top w:val="none" w:sz="0" w:space="0" w:color="auto"/>
        <w:left w:val="none" w:sz="0" w:space="0" w:color="auto"/>
        <w:bottom w:val="none" w:sz="0" w:space="0" w:color="auto"/>
        <w:right w:val="none" w:sz="0" w:space="0" w:color="auto"/>
      </w:divBdr>
    </w:div>
    <w:div w:id="1730035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2955</TotalTime>
  <Pages>1</Pages>
  <Words>394</Words>
  <Characters>2167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EMILIE BURTAIRE</cp:lastModifiedBy>
  <cp:revision>3</cp:revision>
  <dcterms:created xsi:type="dcterms:W3CDTF">2024-04-02T10:56:00Z</dcterms:created>
  <dcterms:modified xsi:type="dcterms:W3CDTF">2024-04-04T12:30:00Z</dcterms:modified>
</cp:coreProperties>
</file>