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F5013F" w14:textId="77777777" w:rsidR="00167F10" w:rsidRPr="00FD567F" w:rsidRDefault="00167F10" w:rsidP="00167F1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2E74B5" w:themeColor="accent5" w:themeShade="BF"/>
          <w:sz w:val="40"/>
          <w:szCs w:val="40"/>
        </w:rPr>
      </w:pPr>
      <w:r w:rsidRPr="00FD567F">
        <w:rPr>
          <w:rFonts w:ascii="Times New Roman" w:hAnsi="Times New Roman" w:cs="Times New Roman"/>
          <w:b/>
          <w:bCs/>
          <w:color w:val="2E74B5" w:themeColor="accent5" w:themeShade="BF"/>
          <w:sz w:val="40"/>
          <w:szCs w:val="40"/>
        </w:rPr>
        <w:t>Народные промыслы</w:t>
      </w:r>
    </w:p>
    <w:p w14:paraId="4E3D8A81" w14:textId="77777777" w:rsidR="00167F10" w:rsidRDefault="00167F10" w:rsidP="00167F1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2E74B5" w:themeColor="accent5" w:themeShade="BF"/>
          <w:sz w:val="40"/>
          <w:szCs w:val="40"/>
        </w:rPr>
      </w:pPr>
      <w:r w:rsidRPr="00FD567F">
        <w:rPr>
          <w:rFonts w:ascii="Times New Roman" w:hAnsi="Times New Roman" w:cs="Times New Roman"/>
          <w:b/>
          <w:bCs/>
          <w:color w:val="2E74B5" w:themeColor="accent5" w:themeShade="BF"/>
          <w:sz w:val="40"/>
          <w:szCs w:val="40"/>
        </w:rPr>
        <w:t>Оренбургской области</w:t>
      </w:r>
    </w:p>
    <w:p w14:paraId="29F74EAE" w14:textId="77777777" w:rsidR="00167F10" w:rsidRDefault="00167F10" w:rsidP="00167F1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2E74B5" w:themeColor="accent5" w:themeShade="BF"/>
          <w:sz w:val="40"/>
          <w:szCs w:val="40"/>
        </w:rPr>
      </w:pPr>
    </w:p>
    <w:p w14:paraId="0F923E8F" w14:textId="77777777" w:rsidR="00167F10" w:rsidRPr="00636A24" w:rsidRDefault="00167F10" w:rsidP="00167F1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36A24">
        <w:rPr>
          <w:rFonts w:ascii="Times New Roman" w:hAnsi="Times New Roman" w:cs="Times New Roman"/>
          <w:b/>
          <w:bCs/>
          <w:sz w:val="28"/>
          <w:szCs w:val="28"/>
        </w:rPr>
        <w:t>В Оренбургской области насчитывается 2300</w:t>
      </w:r>
    </w:p>
    <w:p w14:paraId="7876A327" w14:textId="77777777" w:rsidR="00167F10" w:rsidRPr="00636A24" w:rsidRDefault="00167F10" w:rsidP="00167F1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36A24">
        <w:rPr>
          <w:rFonts w:ascii="Times New Roman" w:hAnsi="Times New Roman" w:cs="Times New Roman"/>
          <w:b/>
          <w:bCs/>
          <w:sz w:val="28"/>
          <w:szCs w:val="28"/>
        </w:rPr>
        <w:t>мастеров, которые владеют более чем 100 видами</w:t>
      </w:r>
    </w:p>
    <w:p w14:paraId="7A5DF9A3" w14:textId="77777777" w:rsidR="00167F10" w:rsidRPr="00636A24" w:rsidRDefault="00167F10" w:rsidP="00167F1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36A24">
        <w:rPr>
          <w:rFonts w:ascii="Times New Roman" w:hAnsi="Times New Roman" w:cs="Times New Roman"/>
          <w:b/>
          <w:bCs/>
          <w:sz w:val="28"/>
          <w:szCs w:val="28"/>
        </w:rPr>
        <w:t xml:space="preserve">декоративно-прикладного искусства и художественного творчества. Наиболее распространены </w:t>
      </w:r>
      <w:proofErr w:type="spellStart"/>
      <w:r w:rsidRPr="00636A24">
        <w:rPr>
          <w:rFonts w:ascii="Times New Roman" w:hAnsi="Times New Roman" w:cs="Times New Roman"/>
          <w:b/>
          <w:bCs/>
          <w:sz w:val="28"/>
          <w:szCs w:val="28"/>
        </w:rPr>
        <w:t>пуховязание</w:t>
      </w:r>
      <w:proofErr w:type="spellEnd"/>
      <w:r w:rsidRPr="00636A24">
        <w:rPr>
          <w:rFonts w:ascii="Times New Roman" w:hAnsi="Times New Roman" w:cs="Times New Roman"/>
          <w:b/>
          <w:bCs/>
          <w:sz w:val="28"/>
          <w:szCs w:val="28"/>
        </w:rPr>
        <w:t xml:space="preserve"> и вязание (крючком,</w:t>
      </w:r>
    </w:p>
    <w:p w14:paraId="023EE6C4" w14:textId="77777777" w:rsidR="00167F10" w:rsidRPr="00636A24" w:rsidRDefault="00167F10" w:rsidP="00167F10">
      <w:pPr>
        <w:spacing w:after="0" w:line="240" w:lineRule="auto"/>
        <w:ind w:right="-58"/>
        <w:rPr>
          <w:rFonts w:ascii="Times New Roman" w:hAnsi="Times New Roman" w:cs="Times New Roman"/>
          <w:b/>
          <w:bCs/>
          <w:sz w:val="28"/>
          <w:szCs w:val="28"/>
        </w:rPr>
      </w:pPr>
      <w:r w:rsidRPr="00636A24">
        <w:rPr>
          <w:rFonts w:ascii="Times New Roman" w:hAnsi="Times New Roman" w:cs="Times New Roman"/>
          <w:b/>
          <w:bCs/>
          <w:sz w:val="28"/>
          <w:szCs w:val="28"/>
        </w:rPr>
        <w:t>спицами), обработка дерева и камня, керамика, глиняная игрушка, лозоплетение, лоскутное шитье и</w:t>
      </w:r>
    </w:p>
    <w:p w14:paraId="4227AD1E" w14:textId="39192987" w:rsidR="00167F10" w:rsidRDefault="00167F10" w:rsidP="00167F1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36A24">
        <w:rPr>
          <w:rFonts w:ascii="Times New Roman" w:hAnsi="Times New Roman" w:cs="Times New Roman"/>
          <w:b/>
          <w:bCs/>
          <w:sz w:val="28"/>
          <w:szCs w:val="28"/>
        </w:rPr>
        <w:t>различные виды рукоделия.</w:t>
      </w:r>
    </w:p>
    <w:p w14:paraId="155AF637" w14:textId="77777777" w:rsidR="00167F10" w:rsidRDefault="00167F10" w:rsidP="00167F1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A77A6A5" w14:textId="7467E215" w:rsidR="00A32A6A" w:rsidRDefault="00167F10" w:rsidP="00167F10">
      <w:r>
        <w:rPr>
          <w:noProof/>
        </w:rPr>
        <w:drawing>
          <wp:inline distT="0" distB="0" distL="0" distR="0" wp14:anchorId="39FECA72" wp14:editId="2EEDD096">
            <wp:extent cx="2926080" cy="2127891"/>
            <wp:effectExtent l="0" t="0" r="7620" b="5715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172" cy="2129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9266E" w14:textId="07242BE5" w:rsidR="00167F10" w:rsidRDefault="00167F10" w:rsidP="00167F10"/>
    <w:p w14:paraId="11B4B32E" w14:textId="5C4AAE05" w:rsidR="00167F10" w:rsidRDefault="00167F10" w:rsidP="00167F10"/>
    <w:p w14:paraId="3802EC81" w14:textId="6337DFE9" w:rsidR="00167F10" w:rsidRDefault="00167F10" w:rsidP="00167F10"/>
    <w:p w14:paraId="7195DFAF" w14:textId="1DB327F3" w:rsidR="00167F10" w:rsidRDefault="00167F10" w:rsidP="00167F10"/>
    <w:p w14:paraId="7D1053FD" w14:textId="2C584A3B" w:rsidR="00167F10" w:rsidRDefault="00167F10" w:rsidP="00167F10">
      <w:r>
        <w:rPr>
          <w:noProof/>
        </w:rPr>
        <w:drawing>
          <wp:inline distT="0" distB="0" distL="0" distR="0" wp14:anchorId="613D1A15" wp14:editId="001E7AC3">
            <wp:extent cx="3023870" cy="111061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67" r="16334"/>
                    <a:stretch/>
                  </pic:blipFill>
                  <pic:spPr bwMode="auto">
                    <a:xfrm>
                      <a:off x="0" y="0"/>
                      <a:ext cx="3023870" cy="111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248689" w14:textId="0ABEC72B" w:rsidR="00167F10" w:rsidRDefault="00167F10" w:rsidP="00167F10">
      <w:r>
        <w:rPr>
          <w:noProof/>
        </w:rPr>
        <w:drawing>
          <wp:inline distT="0" distB="0" distL="0" distR="0" wp14:anchorId="524E6A24" wp14:editId="254ABD06">
            <wp:extent cx="3023870" cy="2301240"/>
            <wp:effectExtent l="0" t="0" r="508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DF537" w14:textId="77777777" w:rsidR="00167F10" w:rsidRDefault="00167F10" w:rsidP="00167F10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color w:val="000000"/>
          <w:shd w:val="clear" w:color="auto" w:fill="FFFFFF"/>
        </w:rPr>
        <w:t> </w:t>
      </w:r>
      <w:r w:rsidRPr="00521C5E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В Акбулакском районе имеются месторождения глины. Уникальность акбулакской глины в том, что по химическому составу она является оптимальной для изготовления предметов мелкой пластики, ее жирность, минимальная усадки при сушке, отсутствие деформации при обжиге. </w:t>
      </w:r>
    </w:p>
    <w:p w14:paraId="2FD53226" w14:textId="20F19653" w:rsidR="00167F10" w:rsidRDefault="00167F10" w:rsidP="00167F10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C94CF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Силами коллектива «Народная Галерея» собран материал, создана коллекция изделий мастеров акбулакской игрушки. </w:t>
      </w:r>
    </w:p>
    <w:p w14:paraId="6F20C2AB" w14:textId="56D91620" w:rsidR="00167F10" w:rsidRDefault="00167F10" w:rsidP="00167F10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6132BB24" w14:textId="72423508" w:rsidR="00167F10" w:rsidRDefault="00167F10" w:rsidP="00167F10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6F4FEA70" w14:textId="77777777" w:rsidR="00167F10" w:rsidRPr="0015510B" w:rsidRDefault="00167F10" w:rsidP="00167F1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15510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Уральские горы, давшие региону его название, разделяют Европу и Азию, а за ними лежит обширная Сибирь. Исторически развитие этого региона было связано с добычей полезных ископаемых, и, естественно, такой разнообразный ассортимент минералов и горных пород вызвал большой интерес к искусству резьбы по твердому камню.</w:t>
      </w:r>
    </w:p>
    <w:p w14:paraId="67E1BCCD" w14:textId="395AF141" w:rsidR="00167F10" w:rsidRDefault="00167F10" w:rsidP="00167F1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15510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Резьба по твердому камню интенсивно развивалась в 18-19 веках, и активное освоение Урала–одного из самых необычных регионов России, богатого уникальными драгоценными камнями, — сыграло важную роль в этом процессе.</w:t>
      </w:r>
    </w:p>
    <w:p w14:paraId="70E6105E" w14:textId="77777777" w:rsidR="00167F10" w:rsidRPr="0015510B" w:rsidRDefault="00167F10" w:rsidP="00167F1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70F975C1" w14:textId="33AB0BFB" w:rsidR="00167F10" w:rsidRDefault="00167F10" w:rsidP="00167F10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43F76CA8" wp14:editId="06104605">
            <wp:extent cx="2887980" cy="2463796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681" cy="2478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EB65AE" w14:textId="450EEA79" w:rsidR="00167F10" w:rsidRDefault="00167F10" w:rsidP="00167F10"/>
    <w:p w14:paraId="6845F567" w14:textId="5EE45B44" w:rsidR="00167F10" w:rsidRDefault="00167F10" w:rsidP="00167F10"/>
    <w:p w14:paraId="2158C0F1" w14:textId="77777777" w:rsidR="00167F10" w:rsidRPr="0015510B" w:rsidRDefault="00167F10" w:rsidP="00167F1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5510B">
        <w:rPr>
          <w:rFonts w:ascii="Times New Roman" w:hAnsi="Times New Roman" w:cs="Times New Roman"/>
          <w:b/>
          <w:bCs/>
          <w:sz w:val="28"/>
          <w:szCs w:val="28"/>
        </w:rPr>
        <w:lastRenderedPageBreak/>
        <w:t>Широко известный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5510B">
        <w:rPr>
          <w:rFonts w:ascii="Times New Roman" w:hAnsi="Times New Roman" w:cs="Times New Roman"/>
          <w:b/>
          <w:bCs/>
          <w:sz w:val="28"/>
          <w:szCs w:val="28"/>
        </w:rPr>
        <w:t xml:space="preserve">промысел </w:t>
      </w:r>
      <w:proofErr w:type="spellStart"/>
      <w:r w:rsidRPr="0015510B">
        <w:rPr>
          <w:rFonts w:ascii="Times New Roman" w:hAnsi="Times New Roman" w:cs="Times New Roman"/>
          <w:b/>
          <w:bCs/>
          <w:sz w:val="28"/>
          <w:szCs w:val="28"/>
        </w:rPr>
        <w:t>пуховязания</w:t>
      </w:r>
      <w:proofErr w:type="spellEnd"/>
      <w:r w:rsidRPr="0015510B">
        <w:rPr>
          <w:rFonts w:ascii="Times New Roman" w:hAnsi="Times New Roman" w:cs="Times New Roman"/>
          <w:b/>
          <w:bCs/>
          <w:sz w:val="28"/>
          <w:szCs w:val="28"/>
        </w:rPr>
        <w:t xml:space="preserve"> традиционно представляют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5510B">
        <w:rPr>
          <w:rFonts w:ascii="Times New Roman" w:hAnsi="Times New Roman" w:cs="Times New Roman"/>
          <w:b/>
          <w:bCs/>
          <w:sz w:val="28"/>
          <w:szCs w:val="28"/>
        </w:rPr>
        <w:t>Саракташский, Оренбургский, Илекский,</w:t>
      </w:r>
    </w:p>
    <w:p w14:paraId="64EE9C6A" w14:textId="77777777" w:rsidR="00167F10" w:rsidRDefault="00167F10" w:rsidP="00167F1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5510B">
        <w:rPr>
          <w:rFonts w:ascii="Times New Roman" w:hAnsi="Times New Roman" w:cs="Times New Roman"/>
          <w:b/>
          <w:bCs/>
          <w:sz w:val="28"/>
          <w:szCs w:val="28"/>
        </w:rPr>
        <w:t>Кувандыкский районы, город Оренбург, династии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15510B">
        <w:rPr>
          <w:rFonts w:ascii="Times New Roman" w:hAnsi="Times New Roman" w:cs="Times New Roman"/>
          <w:b/>
          <w:bCs/>
          <w:sz w:val="28"/>
          <w:szCs w:val="28"/>
        </w:rPr>
        <w:t>Шафиковых</w:t>
      </w:r>
      <w:proofErr w:type="spellEnd"/>
      <w:r w:rsidRPr="0015510B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proofErr w:type="spellStart"/>
      <w:r w:rsidRPr="0015510B">
        <w:rPr>
          <w:rFonts w:ascii="Times New Roman" w:hAnsi="Times New Roman" w:cs="Times New Roman"/>
          <w:b/>
          <w:bCs/>
          <w:sz w:val="28"/>
          <w:szCs w:val="28"/>
        </w:rPr>
        <w:t>Гумеровых</w:t>
      </w:r>
      <w:proofErr w:type="spellEnd"/>
      <w:r w:rsidRPr="0015510B">
        <w:rPr>
          <w:rFonts w:ascii="Times New Roman" w:hAnsi="Times New Roman" w:cs="Times New Roman"/>
          <w:b/>
          <w:bCs/>
          <w:sz w:val="28"/>
          <w:szCs w:val="28"/>
        </w:rPr>
        <w:t>, Якуповых, Банниковых.</w:t>
      </w:r>
    </w:p>
    <w:p w14:paraId="798E1A4A" w14:textId="34F6FE30" w:rsidR="00167F10" w:rsidRDefault="00383F51" w:rsidP="00167F10">
      <w:r>
        <w:rPr>
          <w:noProof/>
        </w:rPr>
        <w:drawing>
          <wp:inline distT="0" distB="0" distL="0" distR="0" wp14:anchorId="02823542" wp14:editId="5841D2D5">
            <wp:extent cx="2209800" cy="2556510"/>
            <wp:effectExtent l="0" t="0" r="0" b="0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306" cy="26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9E3C1" w14:textId="64582574" w:rsidR="00383F51" w:rsidRDefault="00383F51" w:rsidP="00383F51">
      <w:pPr>
        <w:jc w:val="right"/>
      </w:pPr>
      <w:r>
        <w:rPr>
          <w:noProof/>
        </w:rPr>
        <w:drawing>
          <wp:inline distT="0" distB="0" distL="0" distR="0" wp14:anchorId="097B24DE" wp14:editId="54421D35">
            <wp:extent cx="2262724" cy="2552700"/>
            <wp:effectExtent l="0" t="0" r="4445" b="0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71" r="8623"/>
                    <a:stretch/>
                  </pic:blipFill>
                  <pic:spPr bwMode="auto">
                    <a:xfrm>
                      <a:off x="0" y="0"/>
                      <a:ext cx="2310319" cy="260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52D4FB" w14:textId="37C6C6D9" w:rsidR="00383F51" w:rsidRDefault="00383F51" w:rsidP="00383F5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E521D">
        <w:rPr>
          <w:rFonts w:ascii="Times New Roman" w:hAnsi="Times New Roman" w:cs="Times New Roman"/>
          <w:b/>
          <w:bCs/>
          <w:sz w:val="28"/>
          <w:szCs w:val="28"/>
        </w:rPr>
        <w:t>Лозоплетение – «визитная карточка» Новоорского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E521D">
        <w:rPr>
          <w:rFonts w:ascii="Times New Roman" w:hAnsi="Times New Roman" w:cs="Times New Roman"/>
          <w:b/>
          <w:bCs/>
          <w:sz w:val="28"/>
          <w:szCs w:val="28"/>
        </w:rPr>
        <w:t>района. Десятки мастеров постоянно проводят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E521D">
        <w:rPr>
          <w:rFonts w:ascii="Times New Roman" w:hAnsi="Times New Roman" w:cs="Times New Roman"/>
          <w:b/>
          <w:bCs/>
          <w:sz w:val="28"/>
          <w:szCs w:val="28"/>
        </w:rPr>
        <w:t>выставки, ярмарки, творческие встречи в области и за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E521D">
        <w:rPr>
          <w:rFonts w:ascii="Times New Roman" w:hAnsi="Times New Roman" w:cs="Times New Roman"/>
          <w:b/>
          <w:bCs/>
          <w:sz w:val="28"/>
          <w:szCs w:val="28"/>
        </w:rPr>
        <w:t>ее пределами. У мастеров много учеников, есть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E521D">
        <w:rPr>
          <w:rFonts w:ascii="Times New Roman" w:hAnsi="Times New Roman" w:cs="Times New Roman"/>
          <w:b/>
          <w:bCs/>
          <w:sz w:val="28"/>
          <w:szCs w:val="28"/>
        </w:rPr>
        <w:t>династии. Мастерами плетения из лозы славятся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E521D">
        <w:rPr>
          <w:rFonts w:ascii="Times New Roman" w:hAnsi="Times New Roman" w:cs="Times New Roman"/>
          <w:b/>
          <w:bCs/>
          <w:sz w:val="28"/>
          <w:szCs w:val="28"/>
        </w:rPr>
        <w:t>Адамовский, Акбулакский, Александровский,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E521D">
        <w:rPr>
          <w:rFonts w:ascii="Times New Roman" w:hAnsi="Times New Roman" w:cs="Times New Roman"/>
          <w:b/>
          <w:bCs/>
          <w:sz w:val="28"/>
          <w:szCs w:val="28"/>
        </w:rPr>
        <w:t>Бугурусланский, Гайский, Курманаевский,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E521D">
        <w:rPr>
          <w:rFonts w:ascii="Times New Roman" w:hAnsi="Times New Roman" w:cs="Times New Roman"/>
          <w:b/>
          <w:bCs/>
          <w:sz w:val="28"/>
          <w:szCs w:val="28"/>
        </w:rPr>
        <w:t>Новосергиевский, Октябрьский, Оренбургский,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E521D">
        <w:rPr>
          <w:rFonts w:ascii="Times New Roman" w:hAnsi="Times New Roman" w:cs="Times New Roman"/>
          <w:b/>
          <w:bCs/>
          <w:sz w:val="28"/>
          <w:szCs w:val="28"/>
        </w:rPr>
        <w:t>Первомайский, Переволоцкий, Соль-Илецкий,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E521D">
        <w:rPr>
          <w:rFonts w:ascii="Times New Roman" w:hAnsi="Times New Roman" w:cs="Times New Roman"/>
          <w:b/>
          <w:bCs/>
          <w:sz w:val="28"/>
          <w:szCs w:val="28"/>
        </w:rPr>
        <w:t>Сорочинский, Ташлинский, Тоцкий, Шарлыкский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E521D">
        <w:rPr>
          <w:rFonts w:ascii="Times New Roman" w:hAnsi="Times New Roman" w:cs="Times New Roman"/>
          <w:b/>
          <w:bCs/>
          <w:sz w:val="28"/>
          <w:szCs w:val="28"/>
        </w:rPr>
        <w:t>районы.</w:t>
      </w:r>
    </w:p>
    <w:p w14:paraId="5FC748A0" w14:textId="77777777" w:rsidR="00383F51" w:rsidRDefault="00383F51" w:rsidP="00383F5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4A1D225" w14:textId="7B3A1224" w:rsidR="00383F51" w:rsidRDefault="00383F51" w:rsidP="00383F51">
      <w:r>
        <w:rPr>
          <w:rStyle w:val="c2"/>
          <w:noProof/>
          <w:color w:val="000000"/>
        </w:rPr>
        <w:drawing>
          <wp:inline distT="0" distB="0" distL="0" distR="0" wp14:anchorId="2A7FC257" wp14:editId="024F5043">
            <wp:extent cx="3017520" cy="28035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120" cy="28124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D6DE1E" w14:textId="2B120347" w:rsidR="00383F51" w:rsidRDefault="00383F51" w:rsidP="00383F51"/>
    <w:p w14:paraId="6D148006" w14:textId="46806017" w:rsidR="00383F51" w:rsidRDefault="00383F51" w:rsidP="00383F51"/>
    <w:p w14:paraId="5DD41DF6" w14:textId="77777777" w:rsidR="00383F51" w:rsidRDefault="00383F51" w:rsidP="00383F5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209FE">
        <w:rPr>
          <w:rFonts w:ascii="Times New Roman" w:hAnsi="Times New Roman" w:cs="Times New Roman"/>
          <w:b/>
          <w:bCs/>
          <w:sz w:val="28"/>
          <w:szCs w:val="28"/>
        </w:rPr>
        <w:t>Гончарное производство было широко известно на Урале и славилось своим качеством. С начала XVIII века, когда на Уральской земле начали массово строиться большие заводские посёлки, гончарное дело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209FE">
        <w:rPr>
          <w:rFonts w:ascii="Times New Roman" w:hAnsi="Times New Roman" w:cs="Times New Roman"/>
          <w:b/>
          <w:bCs/>
          <w:sz w:val="28"/>
          <w:szCs w:val="28"/>
        </w:rPr>
        <w:t>пользовалось огромным спросом.</w:t>
      </w:r>
    </w:p>
    <w:p w14:paraId="2D8E5064" w14:textId="77777777" w:rsidR="00383F51" w:rsidRDefault="00383F51" w:rsidP="00383F51">
      <w:pPr>
        <w:spacing w:after="0" w:line="240" w:lineRule="auto"/>
        <w:rPr>
          <w:rFonts w:ascii="Times New Roman" w:hAnsi="Times New Roman" w:cs="Times New Roman"/>
          <w:b/>
          <w:bCs/>
          <w:color w:val="3F3F46"/>
          <w:sz w:val="28"/>
          <w:szCs w:val="28"/>
          <w:shd w:val="clear" w:color="auto" w:fill="FFFFFF"/>
        </w:rPr>
      </w:pPr>
      <w:r w:rsidRPr="002928CD">
        <w:rPr>
          <w:rFonts w:ascii="Times New Roman" w:hAnsi="Times New Roman" w:cs="Times New Roman"/>
          <w:b/>
          <w:bCs/>
          <w:color w:val="3F3F46"/>
          <w:sz w:val="28"/>
          <w:szCs w:val="28"/>
          <w:shd w:val="clear" w:color="auto" w:fill="FFFFFF"/>
        </w:rPr>
        <w:t>Традиционное народное гончарство способствовало появлению ряда заводов по выпуску изразцовых и фаянсовых изделий на Урале.</w:t>
      </w:r>
      <w:r w:rsidRPr="002928CD">
        <w:rPr>
          <w:rFonts w:ascii="Times New Roman" w:hAnsi="Times New Roman" w:cs="Times New Roman"/>
          <w:b/>
          <w:bCs/>
          <w:color w:val="3F3F46"/>
          <w:sz w:val="28"/>
          <w:szCs w:val="28"/>
        </w:rPr>
        <w:br/>
      </w:r>
      <w:r w:rsidRPr="002928CD">
        <w:rPr>
          <w:rFonts w:ascii="Times New Roman" w:hAnsi="Times New Roman" w:cs="Times New Roman"/>
          <w:b/>
          <w:bCs/>
          <w:color w:val="3F3F46"/>
          <w:sz w:val="28"/>
          <w:szCs w:val="28"/>
          <w:shd w:val="clear" w:color="auto" w:fill="FFFFFF"/>
        </w:rPr>
        <w:t>Плодотворная деятельность южно-уральских гончарных традиционных мастерских и керамических производств способствовала открытию в 1963 году фарфорового производства в г. Южноуральске Челябинской области.</w:t>
      </w:r>
    </w:p>
    <w:p w14:paraId="47AEE6FE" w14:textId="77777777" w:rsidR="00383F51" w:rsidRPr="001950E1" w:rsidRDefault="00383F51" w:rsidP="00383F5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5F31A36" w14:textId="6925B424" w:rsidR="00383F51" w:rsidRDefault="00383F51" w:rsidP="00383F51">
      <w:r>
        <w:rPr>
          <w:noProof/>
        </w:rPr>
        <w:drawing>
          <wp:inline distT="0" distB="0" distL="0" distR="0" wp14:anchorId="667CC216" wp14:editId="5B2EAD3E">
            <wp:extent cx="3023235" cy="2163445"/>
            <wp:effectExtent l="0" t="0" r="571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186" cy="216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3F51" w:rsidSect="00167F10">
      <w:pgSz w:w="16838" w:h="11906" w:orient="landscape"/>
      <w:pgMar w:top="567" w:right="567" w:bottom="567" w:left="567" w:header="709" w:footer="709" w:gutter="0"/>
      <w:pgBorders w:offsetFrom="page">
        <w:top w:val="dashed" w:sz="2" w:space="24" w:color="4472C4" w:themeColor="accent1"/>
        <w:left w:val="dashed" w:sz="2" w:space="24" w:color="4472C4" w:themeColor="accent1"/>
        <w:bottom w:val="dashed" w:sz="2" w:space="24" w:color="4472C4" w:themeColor="accent1"/>
        <w:right w:val="dashed" w:sz="2" w:space="24" w:color="4472C4" w:themeColor="accent1"/>
      </w:pgBorders>
      <w:cols w:num="3" w:space="45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558E"/>
    <w:rsid w:val="00167F10"/>
    <w:rsid w:val="00383F51"/>
    <w:rsid w:val="0040558E"/>
    <w:rsid w:val="00A32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17AB73"/>
  <w15:chartTrackingRefBased/>
  <w15:docId w15:val="{16D1589C-228D-4584-B492-B6BB52F98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67F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383F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373</Words>
  <Characters>2130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2024-05-18T13:07:00Z</dcterms:created>
  <dcterms:modified xsi:type="dcterms:W3CDTF">2024-05-18T13:21:00Z</dcterms:modified>
</cp:coreProperties>
</file>