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84" w:rsidRDefault="00A9174D">
      <w:pPr>
        <w:spacing w:after="190" w:line="259" w:lineRule="auto"/>
        <w:ind w:left="180" w:right="0" w:firstLine="0"/>
        <w:jc w:val="left"/>
      </w:pPr>
      <w:r>
        <w:rPr>
          <w:b/>
        </w:rPr>
        <w:t xml:space="preserve">НЕЙРОИГРЫ В КОРРЕКЦИОННОЙ РАБОТЕ УЧИТЕЛЯ-ЛОГОПЕДА </w:t>
      </w:r>
    </w:p>
    <w:p w:rsidR="002E4184" w:rsidRDefault="00A9174D">
      <w:pPr>
        <w:spacing w:after="132" w:line="259" w:lineRule="auto"/>
        <w:ind w:left="0" w:right="15" w:firstLine="0"/>
        <w:jc w:val="center"/>
      </w:pPr>
      <w:r>
        <w:rPr>
          <w:b/>
        </w:rPr>
        <w:t xml:space="preserve">С </w:t>
      </w:r>
      <w:r>
        <w:rPr>
          <w:b/>
        </w:rPr>
        <w:t>ДЕТЬМИ ДОШКОЛЬНОГО ВОЗРАСТА</w:t>
      </w:r>
      <w:r>
        <w:t xml:space="preserve"> </w:t>
      </w:r>
    </w:p>
    <w:p w:rsidR="002E4184" w:rsidRDefault="00A9174D">
      <w:pPr>
        <w:ind w:left="-15" w:right="0"/>
      </w:pPr>
      <w:r>
        <w:t xml:space="preserve">Из </w:t>
      </w:r>
      <w:r>
        <w:t xml:space="preserve">года в год увеличивается количество детей с нарушениями речи. Все больше детей </w:t>
      </w:r>
      <w:proofErr w:type="spellStart"/>
      <w:r>
        <w:t>поздноговорящих</w:t>
      </w:r>
      <w:proofErr w:type="spellEnd"/>
      <w:r>
        <w:t xml:space="preserve">. Теоретический анализ исследований различных </w:t>
      </w:r>
      <w:proofErr w:type="spellStart"/>
      <w:r>
        <w:t>ученых</w:t>
      </w:r>
      <w:proofErr w:type="spellEnd"/>
      <w:r>
        <w:t xml:space="preserve"> </w:t>
      </w:r>
      <w:r>
        <w:rPr>
          <w:i/>
        </w:rPr>
        <w:t xml:space="preserve">(У.В. </w:t>
      </w:r>
      <w:proofErr w:type="spellStart"/>
      <w:r>
        <w:rPr>
          <w:i/>
        </w:rPr>
        <w:t>Ульянкова</w:t>
      </w:r>
      <w:proofErr w:type="spellEnd"/>
      <w:r>
        <w:rPr>
          <w:i/>
        </w:rPr>
        <w:t xml:space="preserve">, В.И. </w:t>
      </w:r>
      <w:proofErr w:type="spellStart"/>
      <w:r>
        <w:rPr>
          <w:i/>
        </w:rPr>
        <w:t>Лубовский</w:t>
      </w:r>
      <w:proofErr w:type="spellEnd"/>
      <w:r>
        <w:rPr>
          <w:i/>
        </w:rPr>
        <w:t xml:space="preserve">, И.А. </w:t>
      </w:r>
      <w:proofErr w:type="spellStart"/>
      <w:r>
        <w:rPr>
          <w:i/>
        </w:rPr>
        <w:t>Коробейникова</w:t>
      </w:r>
      <w:proofErr w:type="spellEnd"/>
      <w:r>
        <w:rPr>
          <w:i/>
        </w:rPr>
        <w:t xml:space="preserve"> и др.)</w:t>
      </w:r>
      <w:r>
        <w:t xml:space="preserve"> позволяет отметить некоторые особенности психическ</w:t>
      </w:r>
      <w:r>
        <w:t xml:space="preserve">ого развития детей дошкольного возраста с </w:t>
      </w:r>
      <w:proofErr w:type="spellStart"/>
      <w:r>
        <w:t>тяжелыми</w:t>
      </w:r>
      <w:proofErr w:type="spellEnd"/>
      <w:r>
        <w:t xml:space="preserve"> нарушениями речи. Как правило, у </w:t>
      </w:r>
      <w:r>
        <w:rPr>
          <w:i/>
        </w:rPr>
        <w:t>них</w:t>
      </w:r>
      <w:r>
        <w:rPr>
          <w:u w:val="single" w:color="000000"/>
        </w:rPr>
        <w:t xml:space="preserve"> </w:t>
      </w:r>
      <w:r>
        <w:t>отмечаются следующие особенности:</w:t>
      </w:r>
      <w:r>
        <w:rPr>
          <w:u w:val="single" w:color="000000"/>
        </w:rPr>
        <w:t xml:space="preserve"> </w:t>
      </w:r>
      <w:r>
        <w:t>сниженный уровень концентрации внимания, рассеянность, неустойчивость; ограниченный объем запоминания; отставание в словесно-логическо</w:t>
      </w:r>
      <w:r>
        <w:t xml:space="preserve">м мышлении; </w:t>
      </w:r>
      <w:proofErr w:type="spellStart"/>
      <w:r>
        <w:rPr>
          <w:i/>
        </w:rPr>
        <w:t>несформированность</w:t>
      </w:r>
      <w:proofErr w:type="spellEnd"/>
      <w:r>
        <w:rPr>
          <w:u w:val="single" w:color="000000"/>
        </w:rPr>
        <w:t xml:space="preserve"> </w:t>
      </w:r>
      <w:r>
        <w:rPr>
          <w:i/>
        </w:rPr>
        <w:t>мыслительных</w:t>
      </w:r>
      <w:r>
        <w:rPr>
          <w:u w:val="single" w:color="000000"/>
        </w:rPr>
        <w:t xml:space="preserve"> </w:t>
      </w:r>
      <w:r>
        <w:rPr>
          <w:i/>
        </w:rPr>
        <w:t>операций</w:t>
      </w:r>
      <w:r>
        <w:t>: анализа, синтеза, абстрагирования, обобщения, сравнения. Речь состоит преимущественно из существительных и глаголов; наблюдаются трудности в использовании и подборе антонимов и синонимов; отмечается огр</w:t>
      </w:r>
      <w:r>
        <w:t xml:space="preserve">аниченный словарный запас; допуск ошибок при изложении логической последовательности событий. Так же, наряду с речевыми нарушениями, у детей часто встречаются проблемы с координацией, общей и мелкой моторикой, наблюдается моторная неловкость. </w:t>
      </w:r>
    </w:p>
    <w:p w:rsidR="002E4184" w:rsidRDefault="00A9174D" w:rsidP="00B16DE1">
      <w:pPr>
        <w:ind w:left="-15" w:right="0"/>
      </w:pPr>
      <w:r>
        <w:t>Поэтому лого</w:t>
      </w:r>
      <w:r>
        <w:t xml:space="preserve">педические занятия для таких рябят представляют собой тяжелейший труд. В своей логопедической практике мы стараемся использовать инновационные технологии. Они служат эффективным дополнением к общепринятым и </w:t>
      </w:r>
      <w:proofErr w:type="gramStart"/>
      <w:r>
        <w:t>всем известным технологиям</w:t>
      </w:r>
      <w:proofErr w:type="gramEnd"/>
      <w:r>
        <w:t xml:space="preserve"> и методикам. </w:t>
      </w:r>
    </w:p>
    <w:p w:rsidR="002E4184" w:rsidRDefault="00A9174D">
      <w:pPr>
        <w:ind w:left="-15" w:right="0"/>
      </w:pPr>
      <w:r>
        <w:t>В</w:t>
      </w:r>
      <w:r>
        <w:t xml:space="preserve"> последнее время в логопедической практике все больше уделяется внимания такому направлению как нейропсихология. </w:t>
      </w:r>
    </w:p>
    <w:p w:rsidR="002E4184" w:rsidRDefault="00A9174D">
      <w:pPr>
        <w:ind w:left="-15" w:right="0"/>
      </w:pPr>
      <w:r>
        <w:t>В своей рабо</w:t>
      </w:r>
      <w:r>
        <w:t>те мы используем нейропсихологические упражнения (</w:t>
      </w:r>
      <w:proofErr w:type="spellStart"/>
      <w:r>
        <w:t>нейроигры</w:t>
      </w:r>
      <w:proofErr w:type="spellEnd"/>
      <w:r>
        <w:t xml:space="preserve">)- это эффективнейшая методика, позволяющая помочь детям при многих видах нарушений. Мы поделимся некоторыми нейропсихологическими играми и приёмами, которые используем с детьми с нарушениями речи </w:t>
      </w:r>
      <w:r>
        <w:t xml:space="preserve">на индивидуальных и подгрупповых занятиях. </w:t>
      </w:r>
    </w:p>
    <w:p w:rsidR="002E4184" w:rsidRPr="00B16DE1" w:rsidRDefault="00A9174D">
      <w:pPr>
        <w:pStyle w:val="1"/>
        <w:ind w:left="561"/>
        <w:rPr>
          <w:b/>
        </w:rPr>
      </w:pPr>
      <w:r w:rsidRPr="00B16DE1">
        <w:rPr>
          <w:b/>
        </w:rPr>
        <w:lastRenderedPageBreak/>
        <w:t xml:space="preserve">Игры на развитие межполушарного взаимодействия </w:t>
      </w:r>
    </w:p>
    <w:p w:rsidR="002E4184" w:rsidRDefault="00A9174D">
      <w:pPr>
        <w:ind w:left="-15" w:right="0"/>
      </w:pPr>
      <w:r>
        <w:t xml:space="preserve">Благодаря межполушарным взаимодействиям осуществляется передача информации из одного полушария в другое, обеспечивается целостность работы мозга и его координация. </w:t>
      </w:r>
      <w:r>
        <w:t xml:space="preserve">Межполушарное взаимодействие возможно развивать при помощи комплекса специальных </w:t>
      </w:r>
      <w:proofErr w:type="spellStart"/>
      <w:r>
        <w:t>кинезиологических</w:t>
      </w:r>
      <w:proofErr w:type="spellEnd"/>
      <w:r>
        <w:t xml:space="preserve"> упражнений. </w:t>
      </w:r>
    </w:p>
    <w:p w:rsidR="002E4184" w:rsidRPr="00B16DE1" w:rsidRDefault="00A9174D">
      <w:pPr>
        <w:numPr>
          <w:ilvl w:val="0"/>
          <w:numId w:val="1"/>
        </w:numPr>
        <w:spacing w:after="184" w:line="259" w:lineRule="auto"/>
        <w:ind w:right="0" w:hanging="281"/>
        <w:rPr>
          <w:b/>
        </w:rPr>
      </w:pPr>
      <w:r w:rsidRPr="00B16DE1">
        <w:rPr>
          <w:b/>
        </w:rPr>
        <w:t xml:space="preserve">Игра «Колечко» </w:t>
      </w:r>
    </w:p>
    <w:p w:rsidR="002E4184" w:rsidRDefault="00A9174D">
      <w:pPr>
        <w:ind w:left="-15" w:right="0"/>
      </w:pPr>
      <w:proofErr w:type="spellStart"/>
      <w:r>
        <w:t>Поочередно</w:t>
      </w:r>
      <w:proofErr w:type="spellEnd"/>
      <w:r>
        <w:t xml:space="preserve"> и как можно быстрее перебирайте пальцы рук, соединяя в кольцо с большим пальцем последовательно указательный, средний</w:t>
      </w:r>
      <w:r>
        <w:t xml:space="preserve"> и т. д. в прямом (от указательного пальца к мизинцу) и в обратном (от мизинца к указательному пальцу) порядке. Сначала дети выполняют каждой рукой отдельно, затем вместе. Эту игру мы используем для автоматизации звуков в слогах. </w:t>
      </w:r>
    </w:p>
    <w:p w:rsidR="002E4184" w:rsidRPr="00B16DE1" w:rsidRDefault="00A9174D">
      <w:pPr>
        <w:numPr>
          <w:ilvl w:val="0"/>
          <w:numId w:val="1"/>
        </w:numPr>
        <w:spacing w:after="182" w:line="259" w:lineRule="auto"/>
        <w:ind w:right="0" w:hanging="281"/>
        <w:rPr>
          <w:b/>
        </w:rPr>
      </w:pPr>
      <w:r w:rsidRPr="00B16DE1">
        <w:rPr>
          <w:b/>
        </w:rPr>
        <w:t>Игра «</w:t>
      </w:r>
      <w:proofErr w:type="spellStart"/>
      <w:r w:rsidRPr="00B16DE1">
        <w:rPr>
          <w:b/>
        </w:rPr>
        <w:t>Рисовашки</w:t>
      </w:r>
      <w:proofErr w:type="spellEnd"/>
      <w:r w:rsidRPr="00B16DE1">
        <w:rPr>
          <w:b/>
        </w:rPr>
        <w:t xml:space="preserve">» </w:t>
      </w:r>
    </w:p>
    <w:p w:rsidR="002E4184" w:rsidRDefault="00A9174D">
      <w:pPr>
        <w:ind w:left="-15" w:right="0"/>
      </w:pPr>
      <w:r>
        <w:t>Предлаг</w:t>
      </w:r>
      <w:r>
        <w:t xml:space="preserve">аем </w:t>
      </w:r>
      <w:proofErr w:type="spellStart"/>
      <w:r>
        <w:t>ребенку</w:t>
      </w:r>
      <w:proofErr w:type="spellEnd"/>
      <w:r>
        <w:t xml:space="preserve"> взять в обе руки карандаши ли фломастеры и обвести симметричные рисунки двумя руками. Следим, чтобы руки обводили картинку одновременно (если одна из рук остановилась, нужно этот момент проконтролировать и возобновить процесс обведения уже совм</w:t>
      </w:r>
      <w:r>
        <w:t xml:space="preserve">естно правой и левой рукой). Эту игру так же можно использовать для автоматизации звуков, например, произносить нужный звук изолированно или слоги по ходу рисования. При необходимости можно подобрать картинки, соответствующие </w:t>
      </w:r>
      <w:proofErr w:type="spellStart"/>
      <w:r>
        <w:t>определенному</w:t>
      </w:r>
      <w:proofErr w:type="spellEnd"/>
      <w:r>
        <w:t xml:space="preserve"> звуку или лексич</w:t>
      </w:r>
      <w:r>
        <w:t xml:space="preserve">еской теме. </w:t>
      </w:r>
    </w:p>
    <w:p w:rsidR="002E4184" w:rsidRPr="00B16DE1" w:rsidRDefault="00A9174D">
      <w:pPr>
        <w:numPr>
          <w:ilvl w:val="0"/>
          <w:numId w:val="1"/>
        </w:numPr>
        <w:spacing w:after="183" w:line="259" w:lineRule="auto"/>
        <w:ind w:right="0" w:hanging="281"/>
        <w:rPr>
          <w:b/>
        </w:rPr>
      </w:pPr>
      <w:r w:rsidRPr="00B16DE1">
        <w:rPr>
          <w:b/>
        </w:rPr>
        <w:t xml:space="preserve">Игра «Кулак-ребро-ладонь» </w:t>
      </w:r>
    </w:p>
    <w:p w:rsidR="002E4184" w:rsidRDefault="00A9174D" w:rsidP="00B16DE1">
      <w:pPr>
        <w:ind w:left="-15" w:right="0"/>
      </w:pPr>
      <w:r>
        <w:t xml:space="preserve">Эту игру можно использовать для развития фонематического восприятия либо для дифференциации звуков. Например, говорим </w:t>
      </w:r>
      <w:proofErr w:type="spellStart"/>
      <w:r>
        <w:t>ребенку</w:t>
      </w:r>
      <w:proofErr w:type="spellEnd"/>
      <w:r>
        <w:t xml:space="preserve">: «Если </w:t>
      </w:r>
      <w:r>
        <w:t xml:space="preserve">услышишь звук Р ставь кулак, звук РЬ ставь ладонь. Или звук </w:t>
      </w:r>
      <w:proofErr w:type="gramStart"/>
      <w:r>
        <w:t>С- кулак</w:t>
      </w:r>
      <w:proofErr w:type="gramEnd"/>
      <w:r>
        <w:t xml:space="preserve">, звук З – ребро, звук Ц- ладонь. Помимо этого, игру можно использовать аналогично </w:t>
      </w:r>
      <w:r>
        <w:t xml:space="preserve">для </w:t>
      </w:r>
      <w:proofErr w:type="spellStart"/>
      <w:r>
        <w:t>для</w:t>
      </w:r>
      <w:proofErr w:type="spellEnd"/>
      <w:r>
        <w:t xml:space="preserve"> развития фонематического восприятия либо для дифференциации звуков. </w:t>
      </w:r>
    </w:p>
    <w:p w:rsidR="002E4184" w:rsidRPr="00B16DE1" w:rsidRDefault="00A9174D">
      <w:pPr>
        <w:spacing w:after="184" w:line="259" w:lineRule="auto"/>
        <w:ind w:left="566" w:right="0" w:firstLine="0"/>
        <w:rPr>
          <w:b/>
        </w:rPr>
      </w:pPr>
      <w:r w:rsidRPr="00B16DE1">
        <w:rPr>
          <w:b/>
        </w:rPr>
        <w:t xml:space="preserve">4. Игра «Ассоциация» </w:t>
      </w:r>
    </w:p>
    <w:p w:rsidR="002E4184" w:rsidRDefault="00A9174D">
      <w:pPr>
        <w:ind w:left="-15" w:right="0"/>
      </w:pPr>
      <w:r>
        <w:lastRenderedPageBreak/>
        <w:t xml:space="preserve">Бросаем </w:t>
      </w:r>
      <w:proofErr w:type="spellStart"/>
      <w:r>
        <w:t>ребенку</w:t>
      </w:r>
      <w:proofErr w:type="spellEnd"/>
      <w:r>
        <w:t xml:space="preserve"> мяч, называем любое слово, </w:t>
      </w:r>
      <w:proofErr w:type="gramStart"/>
      <w:r>
        <w:t>например</w:t>
      </w:r>
      <w:proofErr w:type="gramEnd"/>
      <w:r>
        <w:t>: «Яблоко», он в свою очередь должен представить яблоко и подобрать ассоциацию к слову, например «Круглое,</w:t>
      </w:r>
      <w:r>
        <w:t xml:space="preserve"> сочное, румяное, вкусное, красное и т. д.» Возвращает мяч, называет слово-ассоциацию. Такую игру мы часто используем на групповых занятиях по лексическим темам</w:t>
      </w:r>
      <w:r>
        <w:rPr>
          <w:i/>
        </w:rPr>
        <w:t xml:space="preserve">. </w:t>
      </w:r>
    </w:p>
    <w:p w:rsidR="002E4184" w:rsidRPr="00B16DE1" w:rsidRDefault="00A9174D">
      <w:pPr>
        <w:pStyle w:val="1"/>
        <w:ind w:left="561"/>
        <w:rPr>
          <w:b/>
        </w:rPr>
      </w:pPr>
      <w:r w:rsidRPr="00B16DE1">
        <w:rPr>
          <w:b/>
        </w:rPr>
        <w:t xml:space="preserve">Игры на мозжечковую стимуляцию </w:t>
      </w:r>
    </w:p>
    <w:p w:rsidR="002E4184" w:rsidRDefault="00A9174D">
      <w:pPr>
        <w:ind w:left="-15" w:right="0"/>
      </w:pPr>
      <w:r>
        <w:t xml:space="preserve">Мозжечковая стимуляция – система упражнений, направленная на </w:t>
      </w:r>
      <w:r>
        <w:t xml:space="preserve">совершенствование функций мозжечка и структур мозга, активно участвующих в процессе формирования речи и поведения </w:t>
      </w:r>
      <w:proofErr w:type="spellStart"/>
      <w:r>
        <w:t>ребенка</w:t>
      </w:r>
      <w:proofErr w:type="spellEnd"/>
      <w:r>
        <w:t xml:space="preserve">. Для этих игр можно использовать различные мячи по размеру, материалу и структуре: обычные мячи, </w:t>
      </w:r>
      <w:proofErr w:type="spellStart"/>
      <w:r>
        <w:t>суджок</w:t>
      </w:r>
      <w:proofErr w:type="spellEnd"/>
      <w:r>
        <w:t xml:space="preserve">, массажные, мячи-прыгуны. </w:t>
      </w:r>
    </w:p>
    <w:p w:rsidR="002E4184" w:rsidRPr="00B16DE1" w:rsidRDefault="00A9174D">
      <w:pPr>
        <w:numPr>
          <w:ilvl w:val="0"/>
          <w:numId w:val="2"/>
        </w:numPr>
        <w:spacing w:after="181" w:line="259" w:lineRule="auto"/>
        <w:ind w:right="0" w:hanging="281"/>
        <w:rPr>
          <w:b/>
        </w:rPr>
      </w:pPr>
      <w:r w:rsidRPr="00B16DE1">
        <w:rPr>
          <w:b/>
        </w:rPr>
        <w:t>Игр</w:t>
      </w:r>
      <w:r w:rsidRPr="00B16DE1">
        <w:rPr>
          <w:b/>
        </w:rPr>
        <w:t xml:space="preserve">а «Отбивай-ка» </w:t>
      </w:r>
    </w:p>
    <w:p w:rsidR="002E4184" w:rsidRDefault="00A9174D">
      <w:pPr>
        <w:ind w:left="-15" w:right="0"/>
      </w:pPr>
      <w:proofErr w:type="spellStart"/>
      <w:r>
        <w:t>Даем</w:t>
      </w:r>
      <w:proofErr w:type="spellEnd"/>
      <w:r>
        <w:t xml:space="preserve"> задание </w:t>
      </w:r>
      <w:proofErr w:type="spellStart"/>
      <w:r>
        <w:t>ребенку</w:t>
      </w:r>
      <w:proofErr w:type="spellEnd"/>
      <w:r>
        <w:t xml:space="preserve">. Например, на звук Л отбивай мяч правой рукой, на звук Р левой. </w:t>
      </w:r>
    </w:p>
    <w:p w:rsidR="002E4184" w:rsidRDefault="00A9174D">
      <w:pPr>
        <w:ind w:left="-15" w:right="0"/>
      </w:pPr>
      <w:r>
        <w:t xml:space="preserve">Или так: если назову один предмет, отбивай правой рукой мяч, если много – левой. А можно и так: если назову живой предмет -отбивай мяч правой рукой, если </w:t>
      </w:r>
      <w:r>
        <w:t xml:space="preserve">неживой – левой. </w:t>
      </w:r>
    </w:p>
    <w:p w:rsidR="002E4184" w:rsidRPr="00B16DE1" w:rsidRDefault="00A9174D">
      <w:pPr>
        <w:numPr>
          <w:ilvl w:val="0"/>
          <w:numId w:val="2"/>
        </w:numPr>
        <w:spacing w:after="185" w:line="259" w:lineRule="auto"/>
        <w:ind w:right="0" w:hanging="281"/>
        <w:rPr>
          <w:b/>
        </w:rPr>
      </w:pPr>
      <w:r w:rsidRPr="00B16DE1">
        <w:rPr>
          <w:b/>
        </w:rPr>
        <w:t xml:space="preserve">Игра «Переложи мяч» </w:t>
      </w:r>
    </w:p>
    <w:p w:rsidR="002E4184" w:rsidRDefault="00A9174D">
      <w:pPr>
        <w:ind w:left="-15" w:right="0"/>
      </w:pPr>
      <w:r>
        <w:t xml:space="preserve">Предлагаем </w:t>
      </w:r>
      <w:proofErr w:type="spellStart"/>
      <w:r>
        <w:t>ребенку</w:t>
      </w:r>
      <w:proofErr w:type="spellEnd"/>
      <w:r>
        <w:t xml:space="preserve"> перекладывать или перекатывать мяч из правой руки в левую и наоборот, при этом проговариваем автоматизируемый звук или слог. </w:t>
      </w:r>
    </w:p>
    <w:p w:rsidR="002E4184" w:rsidRPr="00B16DE1" w:rsidRDefault="00A9174D">
      <w:pPr>
        <w:pStyle w:val="1"/>
        <w:ind w:left="561"/>
        <w:rPr>
          <w:b/>
        </w:rPr>
      </w:pPr>
      <w:r w:rsidRPr="00B16DE1">
        <w:rPr>
          <w:b/>
        </w:rPr>
        <w:t xml:space="preserve">Игры с </w:t>
      </w:r>
      <w:proofErr w:type="spellStart"/>
      <w:r w:rsidRPr="00B16DE1">
        <w:rPr>
          <w:b/>
        </w:rPr>
        <w:t>нейротренажерами</w:t>
      </w:r>
      <w:proofErr w:type="spellEnd"/>
      <w:r w:rsidRPr="00B16DE1">
        <w:rPr>
          <w:b/>
        </w:rPr>
        <w:t xml:space="preserve"> </w:t>
      </w:r>
    </w:p>
    <w:p w:rsidR="002E4184" w:rsidRDefault="00A9174D" w:rsidP="00B16DE1">
      <w:pPr>
        <w:ind w:left="-15" w:right="0"/>
      </w:pPr>
      <w:r>
        <w:t>В настоящее время в магазинах и на просторах ин</w:t>
      </w:r>
      <w:r>
        <w:t xml:space="preserve">тернета появились в продаже такие </w:t>
      </w:r>
      <w:proofErr w:type="spellStart"/>
      <w:r>
        <w:t>нейротренажеры</w:t>
      </w:r>
      <w:proofErr w:type="spellEnd"/>
      <w:r>
        <w:t xml:space="preserve">, как </w:t>
      </w:r>
      <w:proofErr w:type="spellStart"/>
      <w:r>
        <w:t>нейроскакалка</w:t>
      </w:r>
      <w:proofErr w:type="spellEnd"/>
      <w:r>
        <w:t xml:space="preserve"> и </w:t>
      </w:r>
      <w:proofErr w:type="spellStart"/>
      <w:r>
        <w:t>нейровосьмерка</w:t>
      </w:r>
      <w:proofErr w:type="spellEnd"/>
      <w:r>
        <w:t>. Мы так же используем их в своей работе. Они способствуют развитию межполушарных связей, скорости реакции, способности к быстрому переключению внимания и создают новые ней</w:t>
      </w:r>
      <w:r>
        <w:t>ронные связи в головном мозге. Занятия</w:t>
      </w:r>
      <w:r w:rsidRPr="00B16DE1">
        <w:t xml:space="preserve"> </w:t>
      </w:r>
      <w:r>
        <w:t>с</w:t>
      </w:r>
      <w:r w:rsidRPr="00B16DE1">
        <w:t xml:space="preserve"> </w:t>
      </w:r>
      <w:r>
        <w:t>такими</w:t>
      </w:r>
      <w:r w:rsidRPr="00B16DE1">
        <w:t xml:space="preserve"> </w:t>
      </w:r>
      <w:proofErr w:type="spellStart"/>
      <w:r>
        <w:t>тренажерами</w:t>
      </w:r>
      <w:proofErr w:type="spellEnd"/>
      <w:r w:rsidRPr="00B16DE1">
        <w:t xml:space="preserve"> </w:t>
      </w:r>
      <w:r w:rsidR="00B16DE1">
        <w:t>р</w:t>
      </w:r>
      <w:bookmarkStart w:id="0" w:name="_GoBack"/>
      <w:bookmarkEnd w:id="0"/>
      <w:r>
        <w:t>азвивают способность удерживать в голове и выполнять неско</w:t>
      </w:r>
      <w:r>
        <w:t xml:space="preserve">лько действий одновременно, согласовывая их в общем ритме. При этом </w:t>
      </w:r>
      <w:r>
        <w:lastRenderedPageBreak/>
        <w:t xml:space="preserve">мозг насыщается кислородом, поднимается энергетический тонус, улучшается концентрация внимания и скорость переключения мыслительных процессов. </w:t>
      </w:r>
    </w:p>
    <w:p w:rsidR="002E4184" w:rsidRDefault="00A9174D">
      <w:pPr>
        <w:ind w:left="-15" w:right="0"/>
      </w:pPr>
      <w:r>
        <w:t xml:space="preserve">Таким образом, использование </w:t>
      </w:r>
      <w:proofErr w:type="spellStart"/>
      <w:r>
        <w:t>нейроигр</w:t>
      </w:r>
      <w:proofErr w:type="spellEnd"/>
      <w:r>
        <w:t xml:space="preserve"> способ</w:t>
      </w:r>
      <w:r>
        <w:t xml:space="preserve">ствует преодолению и коррекции имеющихся у детей нарушений. Данные игры улучшает работу правого и левого полушария. Каждое из подобных упражнений активизирует </w:t>
      </w:r>
      <w:proofErr w:type="spellStart"/>
      <w:r>
        <w:t>определенный</w:t>
      </w:r>
      <w:proofErr w:type="spellEnd"/>
      <w:r>
        <w:t xml:space="preserve"> участок мозга и запускает механизм объединения мысли и движения. В результате новый </w:t>
      </w:r>
      <w:r>
        <w:t xml:space="preserve">учебный материал воспринимается детьми более естественно, как бы умом и телом, и поэтому лучше усваивается, а также поддерживается положительный эмоциональный настрой, стойко удерживается интерес детей к коррекционному процессу. </w:t>
      </w:r>
    </w:p>
    <w:p w:rsidR="002E4184" w:rsidRDefault="00A9174D">
      <w:pPr>
        <w:ind w:left="-15" w:right="0"/>
      </w:pPr>
      <w:proofErr w:type="spellStart"/>
      <w:r>
        <w:t>Нейроигры</w:t>
      </w:r>
      <w:proofErr w:type="spellEnd"/>
      <w:r>
        <w:t xml:space="preserve"> дают возможность</w:t>
      </w:r>
      <w:r>
        <w:t xml:space="preserve"> учителям- логопедам более творчески и интересно вести свою работу. А это и есть залог нашего успеха! </w:t>
      </w:r>
    </w:p>
    <w:p w:rsidR="002E4184" w:rsidRDefault="00A9174D">
      <w:pPr>
        <w:pStyle w:val="1"/>
        <w:spacing w:after="245"/>
        <w:ind w:left="566" w:firstLine="0"/>
      </w:pPr>
      <w:r>
        <w:rPr>
          <w:b/>
        </w:rPr>
        <w:t xml:space="preserve">Список литературы </w:t>
      </w:r>
    </w:p>
    <w:p w:rsidR="002E4184" w:rsidRDefault="00A9174D">
      <w:pPr>
        <w:numPr>
          <w:ilvl w:val="0"/>
          <w:numId w:val="3"/>
        </w:numPr>
        <w:ind w:right="0"/>
      </w:pPr>
      <w:r>
        <w:t xml:space="preserve">Гончарова К.Н. Нейропсихологические игры. 10 волшебных занятий на развитие речи, мышления, воображения, самоконтроля / К.Н. Гончарова </w:t>
      </w:r>
      <w:r>
        <w:t xml:space="preserve">– Феникс, 2020. – 55 с. </w:t>
      </w:r>
    </w:p>
    <w:p w:rsidR="002E4184" w:rsidRDefault="00A9174D">
      <w:pPr>
        <w:numPr>
          <w:ilvl w:val="0"/>
          <w:numId w:val="3"/>
        </w:numPr>
        <w:ind w:right="0"/>
      </w:pPr>
      <w:proofErr w:type="spellStart"/>
      <w:r>
        <w:t>Микадзе</w:t>
      </w:r>
      <w:proofErr w:type="spellEnd"/>
      <w:r>
        <w:t xml:space="preserve"> Ю.В. Нейропсихология детского возраста / Ю.В. </w:t>
      </w:r>
      <w:proofErr w:type="spellStart"/>
      <w:r>
        <w:t>Микадзе</w:t>
      </w:r>
      <w:proofErr w:type="spellEnd"/>
      <w:r>
        <w:t xml:space="preserve"> – Питер, 2021 – 288 с. </w:t>
      </w:r>
    </w:p>
    <w:p w:rsidR="002E4184" w:rsidRDefault="00A9174D">
      <w:pPr>
        <w:numPr>
          <w:ilvl w:val="0"/>
          <w:numId w:val="3"/>
        </w:numPr>
        <w:spacing w:after="3724"/>
        <w:ind w:right="0"/>
      </w:pPr>
      <w:proofErr w:type="spellStart"/>
      <w:r>
        <w:t>Трясорукова</w:t>
      </w:r>
      <w:proofErr w:type="spellEnd"/>
      <w:r>
        <w:t xml:space="preserve"> Т.П. Развитие межполушарного взаимодействия у детей нейропсихологические игры / Т.П. </w:t>
      </w:r>
      <w:proofErr w:type="spellStart"/>
      <w:r>
        <w:t>Трясорукова</w:t>
      </w:r>
      <w:proofErr w:type="spellEnd"/>
      <w:r>
        <w:t xml:space="preserve"> – Феникс, 2020. – 60 с. </w:t>
      </w:r>
    </w:p>
    <w:p w:rsidR="002E4184" w:rsidRPr="00B16DE1" w:rsidRDefault="00A9174D">
      <w:pPr>
        <w:spacing w:after="3" w:line="259" w:lineRule="auto"/>
        <w:ind w:left="-5" w:right="0" w:hanging="10"/>
        <w:jc w:val="left"/>
        <w:rPr>
          <w:lang w:val="en-US"/>
        </w:rPr>
      </w:pPr>
      <w:r w:rsidRPr="00B16DE1">
        <w:rPr>
          <w:b/>
          <w:color w:val="808080"/>
          <w:sz w:val="20"/>
          <w:lang w:val="en-US"/>
        </w:rPr>
        <w:t xml:space="preserve">4     </w:t>
      </w:r>
      <w:r w:rsidRPr="00B16DE1">
        <w:rPr>
          <w:b/>
          <w:color w:val="808080"/>
          <w:sz w:val="20"/>
          <w:lang w:val="en-US"/>
        </w:rPr>
        <w:t xml:space="preserve">https://interactive-plus.ru </w:t>
      </w:r>
    </w:p>
    <w:p w:rsidR="002E4184" w:rsidRPr="00B16DE1" w:rsidRDefault="00A9174D">
      <w:pPr>
        <w:spacing w:after="160" w:line="259" w:lineRule="auto"/>
        <w:ind w:left="10" w:right="17" w:hanging="10"/>
        <w:jc w:val="center"/>
        <w:rPr>
          <w:lang w:val="en-US"/>
        </w:rPr>
      </w:pPr>
      <w:r>
        <w:rPr>
          <w:b/>
          <w:color w:val="808080"/>
          <w:sz w:val="20"/>
        </w:rPr>
        <w:t>Содержимое</w:t>
      </w:r>
      <w:r w:rsidRPr="00B16DE1">
        <w:rPr>
          <w:b/>
          <w:color w:val="808080"/>
          <w:sz w:val="20"/>
          <w:lang w:val="en-US"/>
        </w:rPr>
        <w:t xml:space="preserve"> </w:t>
      </w:r>
      <w:r>
        <w:rPr>
          <w:b/>
          <w:color w:val="808080"/>
          <w:sz w:val="20"/>
        </w:rPr>
        <w:t>доступно</w:t>
      </w:r>
      <w:r w:rsidRPr="00B16DE1">
        <w:rPr>
          <w:b/>
          <w:color w:val="808080"/>
          <w:sz w:val="20"/>
          <w:lang w:val="en-US"/>
        </w:rPr>
        <w:t xml:space="preserve"> </w:t>
      </w:r>
      <w:r>
        <w:rPr>
          <w:b/>
          <w:color w:val="808080"/>
          <w:sz w:val="20"/>
        </w:rPr>
        <w:t>по</w:t>
      </w:r>
      <w:r w:rsidRPr="00B16DE1">
        <w:rPr>
          <w:b/>
          <w:color w:val="808080"/>
          <w:sz w:val="20"/>
          <w:lang w:val="en-US"/>
        </w:rPr>
        <w:t xml:space="preserve"> </w:t>
      </w:r>
      <w:r>
        <w:rPr>
          <w:b/>
          <w:color w:val="808080"/>
          <w:sz w:val="20"/>
        </w:rPr>
        <w:t>лицензии</w:t>
      </w:r>
      <w:r w:rsidRPr="00B16DE1">
        <w:rPr>
          <w:b/>
          <w:color w:val="808080"/>
          <w:sz w:val="20"/>
          <w:lang w:val="en-US"/>
        </w:rPr>
        <w:t xml:space="preserve"> Creative Commons Attribution 4.0 license (CC-BY 4.0)</w:t>
      </w:r>
      <w:r w:rsidRPr="00B16DE1">
        <w:rPr>
          <w:rFonts w:ascii="Calibri" w:eastAsia="Calibri" w:hAnsi="Calibri" w:cs="Calibri"/>
          <w:sz w:val="22"/>
          <w:lang w:val="en-US"/>
        </w:rPr>
        <w:t xml:space="preserve"> </w:t>
      </w:r>
    </w:p>
    <w:sectPr w:rsidR="002E4184" w:rsidRPr="00B16DE1">
      <w:headerReference w:type="even" r:id="rId7"/>
      <w:headerReference w:type="first" r:id="rId8"/>
      <w:pgSz w:w="11906" w:h="16838"/>
      <w:pgMar w:top="623" w:right="1118" w:bottom="706" w:left="1133" w:header="9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4D" w:rsidRDefault="00A9174D">
      <w:pPr>
        <w:spacing w:after="0" w:line="240" w:lineRule="auto"/>
      </w:pPr>
      <w:r>
        <w:separator/>
      </w:r>
    </w:p>
  </w:endnote>
  <w:endnote w:type="continuationSeparator" w:id="0">
    <w:p w:rsidR="00A9174D" w:rsidRDefault="00A9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4D" w:rsidRDefault="00A9174D">
      <w:pPr>
        <w:spacing w:after="0" w:line="240" w:lineRule="auto"/>
      </w:pPr>
      <w:r>
        <w:separator/>
      </w:r>
    </w:p>
  </w:footnote>
  <w:footnote w:type="continuationSeparator" w:id="0">
    <w:p w:rsidR="00A9174D" w:rsidRDefault="00A9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84" w:rsidRDefault="00A9174D">
    <w:pPr>
      <w:spacing w:after="0" w:line="259" w:lineRule="auto"/>
      <w:ind w:left="-1133" w:right="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628014</wp:posOffset>
              </wp:positionV>
              <wp:extent cx="6120130" cy="12065"/>
              <wp:effectExtent l="0" t="0" r="0" b="0"/>
              <wp:wrapSquare wrapText="bothSides"/>
              <wp:docPr id="8229" name="Group 8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12065"/>
                        <a:chOff x="0" y="0"/>
                        <a:chExt cx="6120130" cy="12065"/>
                      </a:xfrm>
                    </wpg:grpSpPr>
                    <wps:wsp>
                      <wps:cNvPr id="8301" name="Shape 8301"/>
                      <wps:cNvSpPr/>
                      <wps:spPr>
                        <a:xfrm>
                          <a:off x="0" y="0"/>
                          <a:ext cx="6120130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130" h="12065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  <a:lnTo>
                                <a:pt x="6120130" y="12065"/>
                              </a:lnTo>
                              <a:lnTo>
                                <a:pt x="0" y="120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29" style="width:481.9pt;height:0.950012pt;position:absolute;mso-position-horizontal-relative:page;mso-position-horizontal:absolute;margin-left:56.65pt;mso-position-vertical-relative:page;margin-top:49.45pt;" coordsize="61201,120">
              <v:shape id="Shape 8302" style="position:absolute;width:61201;height:120;left:0;top:0;" coordsize="6120130,12065" path="m0,0l6120130,0l6120130,12065l0,1206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84" w:rsidRDefault="00A9174D">
    <w:pPr>
      <w:spacing w:after="0" w:line="259" w:lineRule="auto"/>
      <w:ind w:left="-1133" w:right="1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628014</wp:posOffset>
              </wp:positionV>
              <wp:extent cx="6120130" cy="12065"/>
              <wp:effectExtent l="0" t="0" r="0" b="0"/>
              <wp:wrapSquare wrapText="bothSides"/>
              <wp:docPr id="8217" name="Group 82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12065"/>
                        <a:chOff x="0" y="0"/>
                        <a:chExt cx="6120130" cy="12065"/>
                      </a:xfrm>
                    </wpg:grpSpPr>
                    <wps:wsp>
                      <wps:cNvPr id="8297" name="Shape 8297"/>
                      <wps:cNvSpPr/>
                      <wps:spPr>
                        <a:xfrm>
                          <a:off x="0" y="0"/>
                          <a:ext cx="6120130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130" h="12065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  <a:lnTo>
                                <a:pt x="6120130" y="12065"/>
                              </a:lnTo>
                              <a:lnTo>
                                <a:pt x="0" y="120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17" style="width:481.9pt;height:0.950012pt;position:absolute;mso-position-horizontal-relative:page;mso-position-horizontal:absolute;margin-left:56.65pt;mso-position-vertical-relative:page;margin-top:49.45pt;" coordsize="61201,120">
              <v:shape id="Shape 8298" style="position:absolute;width:61201;height:120;left:0;top:0;" coordsize="6120130,12065" path="m0,0l6120130,0l6120130,12065l0,12065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30FE1"/>
    <w:multiLevelType w:val="hybridMultilevel"/>
    <w:tmpl w:val="A88203FC"/>
    <w:lvl w:ilvl="0" w:tplc="3300CE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5837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006C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805FE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C0D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64A6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B279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44545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70A8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6D6F01"/>
    <w:multiLevelType w:val="hybridMultilevel"/>
    <w:tmpl w:val="AFCA688C"/>
    <w:lvl w:ilvl="0" w:tplc="2A50AD0E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2480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AC41B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1C2B1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0C795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EEA3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EC1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0AD4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406BF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0A1746"/>
    <w:multiLevelType w:val="hybridMultilevel"/>
    <w:tmpl w:val="3D1A83D4"/>
    <w:lvl w:ilvl="0" w:tplc="DE0E4900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EEB4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706A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4CD0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1EE2B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6AA9B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6003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62C2C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6CA48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84"/>
    <w:rsid w:val="002E4184"/>
    <w:rsid w:val="00A9174D"/>
    <w:rsid w:val="00B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C7E0"/>
  <w15:docId w15:val="{F1493514-85D4-48E7-BD12-9D5301C5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94" w:lineRule="auto"/>
      <w:ind w:left="5538" w:right="1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3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B1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6DE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B16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6DE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2024-02-13T12:43:00Z</dcterms:created>
  <dcterms:modified xsi:type="dcterms:W3CDTF">2024-02-13T12:43:00Z</dcterms:modified>
</cp:coreProperties>
</file>