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Roméo Kleiwer TG1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Démarche sur la répétition :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Pour ce sujet j’ai décidé de répéter l'œuvre “ la jeune fille a la perle” sur un support A4 . J’ai voulu représenter le côté opposé du tableau. Pour cela j’ai rendu cette œuvre sale et dégradée en utilisant le café et un briquet pour brûler les bord de mon dessein pour ainsi donner un côté ancien/vieux . La pose de la jeune fille, son regard direct vers le spectateur et l'expression énigmatique sur son visage ont suscité de nombreuses interprétations et théories sur ses pensées et son état d'esprit au moment où le tableau a été peint. Certains ont suggéré qu'elle pourrait être surprise ou réfléchie, mais la véritable signification de son expression reste ouverte à l'interprétation personnelle. Pour moi l’expression de son visage représente l’ignorance et la beauté pur . C’est pour ca que j’ai décide de remplacé son visage par un crane pour le coté  beauté et un sourire satirique pour le coté ignorance .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