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75"/>
        <w:gridCol w:w="2791"/>
        <w:gridCol w:w="3776"/>
        <w:gridCol w:w="3672"/>
        <w:gridCol w:w="2076"/>
      </w:tblGrid>
      <w:tr w:rsidR="00C1365E" w:rsidRPr="00A406B0" w:rsidTr="00E12D48">
        <w:tc>
          <w:tcPr>
            <w:tcW w:w="2075" w:type="dxa"/>
          </w:tcPr>
          <w:p w:rsidR="00C1365E" w:rsidRPr="00A406B0" w:rsidRDefault="00C1365E" w:rsidP="00E12D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A406B0">
              <w:rPr>
                <w:rFonts w:cstheme="minorHAnsi"/>
                <w:b/>
                <w:bCs/>
                <w:sz w:val="22"/>
                <w:szCs w:val="22"/>
              </w:rPr>
              <w:t>Périodes paléogéographiques</w:t>
            </w:r>
          </w:p>
        </w:tc>
        <w:tc>
          <w:tcPr>
            <w:tcW w:w="2791" w:type="dxa"/>
          </w:tcPr>
          <w:p w:rsidR="00C1365E" w:rsidRPr="00A406B0" w:rsidRDefault="00C1365E" w:rsidP="00E12D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A406B0">
              <w:rPr>
                <w:rFonts w:cstheme="minorHAnsi"/>
                <w:b/>
                <w:bCs/>
                <w:sz w:val="22"/>
                <w:szCs w:val="22"/>
              </w:rPr>
              <w:t>Etapes et mots clés</w:t>
            </w:r>
          </w:p>
        </w:tc>
        <w:tc>
          <w:tcPr>
            <w:tcW w:w="3776" w:type="dxa"/>
          </w:tcPr>
          <w:p w:rsidR="00C1365E" w:rsidRPr="00A406B0" w:rsidRDefault="00C1365E" w:rsidP="00E12D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A406B0">
              <w:rPr>
                <w:rFonts w:cstheme="minorHAnsi"/>
                <w:b/>
                <w:bCs/>
                <w:sz w:val="22"/>
                <w:szCs w:val="22"/>
              </w:rPr>
              <w:t>Schéma</w:t>
            </w:r>
            <w:r>
              <w:rPr>
                <w:rFonts w:cstheme="minorHAnsi"/>
                <w:b/>
                <w:bCs/>
                <w:sz w:val="22"/>
                <w:szCs w:val="22"/>
              </w:rPr>
              <w:t>(s)</w:t>
            </w:r>
          </w:p>
        </w:tc>
        <w:tc>
          <w:tcPr>
            <w:tcW w:w="3672" w:type="dxa"/>
          </w:tcPr>
          <w:p w:rsidR="00C1365E" w:rsidRPr="00A406B0" w:rsidRDefault="00C1365E" w:rsidP="00E12D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A406B0">
              <w:rPr>
                <w:rFonts w:cstheme="minorHAnsi"/>
                <w:b/>
                <w:bCs/>
                <w:sz w:val="22"/>
                <w:szCs w:val="22"/>
              </w:rPr>
              <w:t>Indices</w:t>
            </w:r>
          </w:p>
        </w:tc>
        <w:tc>
          <w:tcPr>
            <w:tcW w:w="2076" w:type="dxa"/>
          </w:tcPr>
          <w:p w:rsidR="00C1365E" w:rsidRPr="00A406B0" w:rsidRDefault="00C1365E" w:rsidP="00E12D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A406B0">
              <w:rPr>
                <w:rFonts w:cstheme="minorHAnsi"/>
                <w:b/>
                <w:bCs/>
                <w:sz w:val="22"/>
                <w:szCs w:val="22"/>
              </w:rPr>
              <w:t>Exemples (région et/ou outil)</w:t>
            </w:r>
          </w:p>
        </w:tc>
      </w:tr>
      <w:tr w:rsidR="00C1365E" w:rsidRPr="00A406B0" w:rsidTr="00E12D48">
        <w:trPr>
          <w:trHeight w:val="205"/>
        </w:trPr>
        <w:tc>
          <w:tcPr>
            <w:tcW w:w="2075" w:type="dxa"/>
            <w:vMerge w:val="restart"/>
            <w:vAlign w:val="center"/>
          </w:tcPr>
          <w:p w:rsidR="00C1365E" w:rsidRPr="004B238E" w:rsidRDefault="00C1365E" w:rsidP="00E12D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4B238E">
              <w:rPr>
                <w:rFonts w:cstheme="minorHAnsi"/>
                <w:b/>
                <w:bCs/>
                <w:sz w:val="22"/>
                <w:szCs w:val="22"/>
              </w:rPr>
              <w:t>Fragmentation des blocs continentaux</w:t>
            </w:r>
          </w:p>
        </w:tc>
        <w:tc>
          <w:tcPr>
            <w:tcW w:w="2791" w:type="dxa"/>
          </w:tcPr>
          <w:p w:rsidR="00C1365E" w:rsidRPr="00A406B0" w:rsidRDefault="00C1365E" w:rsidP="00E12D48">
            <w:pPr>
              <w:rPr>
                <w:rFonts w:cstheme="minorHAnsi"/>
                <w:sz w:val="22"/>
                <w:szCs w:val="22"/>
              </w:rPr>
            </w:pPr>
            <w:r w:rsidRPr="004B238E">
              <w:rPr>
                <w:rFonts w:cstheme="minorHAnsi"/>
                <w:b/>
                <w:bCs/>
                <w:sz w:val="22"/>
                <w:szCs w:val="22"/>
                <w:u w:val="single"/>
              </w:rPr>
              <w:t>Etape n°1</w:t>
            </w:r>
            <w:r w:rsidRPr="004B238E">
              <w:rPr>
                <w:rFonts w:cstheme="minorHAnsi"/>
                <w:b/>
                <w:bCs/>
                <w:sz w:val="22"/>
                <w:szCs w:val="22"/>
              </w:rPr>
              <w:t> : rift continental</w:t>
            </w:r>
            <w:r w:rsidRPr="00A406B0">
              <w:rPr>
                <w:rFonts w:cstheme="minorHAnsi"/>
                <w:sz w:val="22"/>
                <w:szCs w:val="22"/>
              </w:rPr>
              <w:t xml:space="preserve"> = stade initial de la fragmentation continentale </w:t>
            </w:r>
          </w:p>
          <w:p w:rsidR="00C1365E" w:rsidRPr="00A406B0" w:rsidRDefault="00C1365E" w:rsidP="00E12D48">
            <w:pPr>
              <w:rPr>
                <w:rFonts w:cstheme="minorHAnsi"/>
                <w:sz w:val="22"/>
                <w:szCs w:val="22"/>
              </w:rPr>
            </w:pPr>
          </w:p>
          <w:p w:rsidR="00C1365E" w:rsidRPr="00A406B0" w:rsidRDefault="00C1365E" w:rsidP="00E12D48">
            <w:pPr>
              <w:rPr>
                <w:rFonts w:cstheme="minorHAnsi"/>
                <w:sz w:val="22"/>
                <w:szCs w:val="22"/>
              </w:rPr>
            </w:pPr>
          </w:p>
          <w:p w:rsidR="00C1365E" w:rsidRPr="00A406B0" w:rsidRDefault="00C1365E" w:rsidP="00E12D4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776" w:type="dxa"/>
          </w:tcPr>
          <w:p w:rsidR="00C1365E" w:rsidRPr="00A406B0" w:rsidRDefault="00C1365E" w:rsidP="00E12D4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72" w:type="dxa"/>
          </w:tcPr>
          <w:p w:rsidR="00C1365E" w:rsidRPr="00A406B0" w:rsidRDefault="00C1365E" w:rsidP="00E12D48">
            <w:pPr>
              <w:rPr>
                <w:rFonts w:cstheme="minorHAnsi"/>
                <w:sz w:val="22"/>
                <w:szCs w:val="22"/>
              </w:rPr>
            </w:pPr>
            <w:r w:rsidRPr="00A406B0">
              <w:rPr>
                <w:rFonts w:cstheme="minorHAnsi"/>
                <w:sz w:val="22"/>
                <w:szCs w:val="22"/>
                <w:u w:val="single"/>
              </w:rPr>
              <w:t>Indices au niveau des rifts</w:t>
            </w:r>
            <w:r w:rsidRPr="00A406B0">
              <w:rPr>
                <w:rFonts w:cstheme="minorHAnsi"/>
                <w:sz w:val="22"/>
                <w:szCs w:val="22"/>
              </w:rPr>
              <w:t> :</w:t>
            </w:r>
          </w:p>
          <w:p w:rsidR="00C1365E" w:rsidRPr="00A406B0" w:rsidRDefault="00C1365E" w:rsidP="00E12D48">
            <w:pPr>
              <w:rPr>
                <w:rFonts w:cstheme="minorHAnsi"/>
                <w:sz w:val="22"/>
                <w:szCs w:val="22"/>
              </w:rPr>
            </w:pPr>
          </w:p>
          <w:p w:rsidR="00C1365E" w:rsidRPr="00A406B0" w:rsidRDefault="00C1365E" w:rsidP="00E12D48">
            <w:pPr>
              <w:rPr>
                <w:rFonts w:cstheme="minorHAnsi"/>
                <w:sz w:val="22"/>
                <w:szCs w:val="22"/>
              </w:rPr>
            </w:pPr>
          </w:p>
          <w:p w:rsidR="00C1365E" w:rsidRPr="00A406B0" w:rsidRDefault="00C1365E" w:rsidP="00E12D48">
            <w:pPr>
              <w:rPr>
                <w:rFonts w:cstheme="minorHAnsi"/>
                <w:sz w:val="22"/>
                <w:szCs w:val="22"/>
              </w:rPr>
            </w:pPr>
            <w:r w:rsidRPr="00A406B0">
              <w:rPr>
                <w:rFonts w:cstheme="minorHAnsi"/>
                <w:sz w:val="22"/>
                <w:szCs w:val="22"/>
                <w:u w:val="single"/>
              </w:rPr>
              <w:t>Indices dans les marges passives :</w:t>
            </w:r>
            <w:r w:rsidRPr="00A406B0">
              <w:rPr>
                <w:rFonts w:cstheme="minorHAnsi"/>
                <w:sz w:val="22"/>
                <w:szCs w:val="22"/>
              </w:rPr>
              <w:t> </w:t>
            </w:r>
          </w:p>
        </w:tc>
        <w:tc>
          <w:tcPr>
            <w:tcW w:w="2076" w:type="dxa"/>
          </w:tcPr>
          <w:p w:rsidR="00C1365E" w:rsidRDefault="00C1365E" w:rsidP="00E12D48">
            <w:pPr>
              <w:rPr>
                <w:rFonts w:cstheme="minorHAnsi"/>
                <w:sz w:val="22"/>
                <w:szCs w:val="22"/>
              </w:rPr>
            </w:pPr>
          </w:p>
          <w:p w:rsidR="00C1365E" w:rsidRDefault="00C1365E" w:rsidP="00E12D48">
            <w:pPr>
              <w:rPr>
                <w:rFonts w:cstheme="minorHAnsi"/>
                <w:sz w:val="22"/>
                <w:szCs w:val="22"/>
              </w:rPr>
            </w:pPr>
          </w:p>
          <w:p w:rsidR="00C1365E" w:rsidRDefault="00C1365E" w:rsidP="00E12D48">
            <w:pPr>
              <w:rPr>
                <w:rFonts w:cstheme="minorHAnsi"/>
                <w:sz w:val="22"/>
                <w:szCs w:val="22"/>
              </w:rPr>
            </w:pPr>
          </w:p>
          <w:p w:rsidR="00C1365E" w:rsidRDefault="00C1365E" w:rsidP="00E12D48">
            <w:pPr>
              <w:rPr>
                <w:rFonts w:cstheme="minorHAnsi"/>
                <w:sz w:val="22"/>
                <w:szCs w:val="22"/>
              </w:rPr>
            </w:pPr>
          </w:p>
          <w:p w:rsidR="00C1365E" w:rsidRDefault="00C1365E" w:rsidP="00E12D48">
            <w:pPr>
              <w:rPr>
                <w:rFonts w:cstheme="minorHAnsi"/>
                <w:sz w:val="22"/>
                <w:szCs w:val="22"/>
              </w:rPr>
            </w:pPr>
          </w:p>
          <w:p w:rsidR="00C1365E" w:rsidRPr="00A406B0" w:rsidRDefault="00C1365E" w:rsidP="00E12D4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1365E" w:rsidRPr="00A406B0" w:rsidTr="00E12D48">
        <w:trPr>
          <w:trHeight w:val="204"/>
        </w:trPr>
        <w:tc>
          <w:tcPr>
            <w:tcW w:w="2075" w:type="dxa"/>
            <w:vMerge/>
          </w:tcPr>
          <w:p w:rsidR="00C1365E" w:rsidRPr="00A406B0" w:rsidRDefault="00C1365E" w:rsidP="00E12D4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91" w:type="dxa"/>
          </w:tcPr>
          <w:p w:rsidR="00C1365E" w:rsidRPr="004B238E" w:rsidRDefault="00C1365E" w:rsidP="00E12D4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4B238E">
              <w:rPr>
                <w:rFonts w:cstheme="minorHAnsi"/>
                <w:b/>
                <w:bCs/>
                <w:sz w:val="22"/>
                <w:szCs w:val="22"/>
                <w:u w:val="single"/>
              </w:rPr>
              <w:t>Etape n°2</w:t>
            </w:r>
            <w:r w:rsidRPr="004B238E">
              <w:rPr>
                <w:rFonts w:cstheme="minorHAnsi"/>
                <w:b/>
                <w:bCs/>
                <w:sz w:val="22"/>
                <w:szCs w:val="22"/>
              </w:rPr>
              <w:t> : mise en place d’une dorsale et accrétion océanique</w:t>
            </w:r>
          </w:p>
        </w:tc>
        <w:tc>
          <w:tcPr>
            <w:tcW w:w="3776" w:type="dxa"/>
          </w:tcPr>
          <w:p w:rsidR="00C1365E" w:rsidRPr="00A406B0" w:rsidRDefault="00C1365E" w:rsidP="00E12D48">
            <w:pPr>
              <w:rPr>
                <w:rFonts w:cstheme="minorHAnsi"/>
                <w:sz w:val="22"/>
                <w:szCs w:val="22"/>
              </w:rPr>
            </w:pPr>
            <w:r w:rsidRPr="00A406B0">
              <w:rPr>
                <w:rFonts w:cstheme="minorHAnsi"/>
                <w:sz w:val="22"/>
                <w:szCs w:val="22"/>
              </w:rPr>
              <w:t xml:space="preserve"> </w:t>
            </w:r>
          </w:p>
          <w:p w:rsidR="00C1365E" w:rsidRPr="00A406B0" w:rsidRDefault="00C1365E" w:rsidP="00E12D48">
            <w:pPr>
              <w:rPr>
                <w:rFonts w:cstheme="minorHAnsi"/>
                <w:sz w:val="22"/>
                <w:szCs w:val="22"/>
              </w:rPr>
            </w:pPr>
          </w:p>
          <w:p w:rsidR="00C1365E" w:rsidRPr="00A406B0" w:rsidRDefault="00C1365E" w:rsidP="00E12D4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72" w:type="dxa"/>
          </w:tcPr>
          <w:p w:rsidR="00C1365E" w:rsidRPr="00A406B0" w:rsidRDefault="00C1365E" w:rsidP="00E12D48">
            <w:pPr>
              <w:rPr>
                <w:rFonts w:cstheme="minorHAnsi"/>
                <w:sz w:val="22"/>
                <w:szCs w:val="22"/>
              </w:rPr>
            </w:pPr>
            <w:r w:rsidRPr="00A406B0">
              <w:rPr>
                <w:rFonts w:cstheme="minorHAnsi"/>
                <w:sz w:val="22"/>
                <w:szCs w:val="22"/>
              </w:rPr>
              <w:t xml:space="preserve">• </w:t>
            </w:r>
            <w:r w:rsidRPr="00D2174E">
              <w:rPr>
                <w:rFonts w:cstheme="minorHAnsi"/>
                <w:sz w:val="22"/>
                <w:szCs w:val="22"/>
                <w:u w:val="single"/>
              </w:rPr>
              <w:t>Indice dans les marges passives</w:t>
            </w:r>
            <w:r w:rsidRPr="00A406B0">
              <w:rPr>
                <w:rFonts w:cstheme="minorHAnsi"/>
                <w:sz w:val="22"/>
                <w:szCs w:val="22"/>
              </w:rPr>
              <w:t> :</w:t>
            </w:r>
          </w:p>
          <w:p w:rsidR="00C1365E" w:rsidRPr="00A406B0" w:rsidRDefault="00C1365E" w:rsidP="00E12D48">
            <w:pPr>
              <w:rPr>
                <w:rFonts w:cstheme="minorHAnsi"/>
                <w:sz w:val="22"/>
                <w:szCs w:val="22"/>
              </w:rPr>
            </w:pPr>
          </w:p>
          <w:p w:rsidR="00C1365E" w:rsidRPr="00A406B0" w:rsidRDefault="00C1365E" w:rsidP="00E12D48">
            <w:pPr>
              <w:rPr>
                <w:rFonts w:cstheme="minorHAnsi"/>
                <w:sz w:val="22"/>
                <w:szCs w:val="22"/>
              </w:rPr>
            </w:pPr>
          </w:p>
          <w:p w:rsidR="00C1365E" w:rsidRDefault="00C1365E" w:rsidP="00E12D48">
            <w:pPr>
              <w:rPr>
                <w:rFonts w:cstheme="minorHAnsi"/>
                <w:sz w:val="22"/>
                <w:szCs w:val="22"/>
              </w:rPr>
            </w:pPr>
            <w:r w:rsidRPr="00A406B0">
              <w:rPr>
                <w:rFonts w:cstheme="minorHAnsi"/>
                <w:sz w:val="22"/>
                <w:szCs w:val="22"/>
              </w:rPr>
              <w:t xml:space="preserve">• </w:t>
            </w:r>
            <w:r w:rsidRPr="00D2174E">
              <w:rPr>
                <w:rFonts w:cstheme="minorHAnsi"/>
                <w:sz w:val="22"/>
                <w:szCs w:val="22"/>
                <w:u w:val="single"/>
              </w:rPr>
              <w:t>Indice dans les chaînes de montagnes</w:t>
            </w:r>
            <w:r>
              <w:rPr>
                <w:rFonts w:cstheme="minorHAnsi"/>
                <w:sz w:val="22"/>
                <w:szCs w:val="22"/>
              </w:rPr>
              <w:t> :</w:t>
            </w:r>
          </w:p>
          <w:p w:rsidR="00C1365E" w:rsidRPr="00A406B0" w:rsidRDefault="00C1365E" w:rsidP="00E12D4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076" w:type="dxa"/>
          </w:tcPr>
          <w:p w:rsidR="00C1365E" w:rsidRDefault="00C1365E" w:rsidP="00E12D48">
            <w:pPr>
              <w:rPr>
                <w:rFonts w:cstheme="minorHAnsi"/>
                <w:sz w:val="22"/>
                <w:szCs w:val="22"/>
              </w:rPr>
            </w:pPr>
          </w:p>
          <w:p w:rsidR="00C1365E" w:rsidRDefault="00C1365E" w:rsidP="00E12D48">
            <w:pPr>
              <w:rPr>
                <w:rFonts w:cstheme="minorHAnsi"/>
                <w:sz w:val="22"/>
                <w:szCs w:val="22"/>
              </w:rPr>
            </w:pPr>
          </w:p>
          <w:p w:rsidR="00C1365E" w:rsidRPr="00A406B0" w:rsidRDefault="00C1365E" w:rsidP="00E12D4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1365E" w:rsidRPr="00A406B0" w:rsidTr="00E12D48">
        <w:tc>
          <w:tcPr>
            <w:tcW w:w="2075" w:type="dxa"/>
            <w:vMerge w:val="restart"/>
            <w:vAlign w:val="center"/>
          </w:tcPr>
          <w:p w:rsidR="00C1365E" w:rsidRPr="004B238E" w:rsidRDefault="00C1365E" w:rsidP="00E12D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4B238E">
              <w:rPr>
                <w:rFonts w:cstheme="minorHAnsi"/>
                <w:b/>
                <w:bCs/>
                <w:sz w:val="22"/>
                <w:szCs w:val="22"/>
              </w:rPr>
              <w:t>Réunion des blocs continentaux</w:t>
            </w:r>
          </w:p>
        </w:tc>
        <w:tc>
          <w:tcPr>
            <w:tcW w:w="2791" w:type="dxa"/>
          </w:tcPr>
          <w:p w:rsidR="00C1365E" w:rsidRPr="004B238E" w:rsidRDefault="00C1365E" w:rsidP="00E12D4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4B238E">
              <w:rPr>
                <w:rFonts w:cstheme="minorHAnsi"/>
                <w:b/>
                <w:bCs/>
                <w:sz w:val="22"/>
                <w:szCs w:val="22"/>
                <w:u w:val="single"/>
              </w:rPr>
              <w:t>Etape n°1</w:t>
            </w:r>
            <w:r w:rsidRPr="004B238E">
              <w:rPr>
                <w:rFonts w:cstheme="minorHAnsi"/>
                <w:b/>
                <w:bCs/>
                <w:sz w:val="22"/>
                <w:szCs w:val="22"/>
              </w:rPr>
              <w:t> : fermeture de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l’</w:t>
            </w:r>
            <w:r w:rsidRPr="004B238E">
              <w:rPr>
                <w:rFonts w:cstheme="minorHAnsi"/>
                <w:b/>
                <w:bCs/>
                <w:sz w:val="22"/>
                <w:szCs w:val="22"/>
              </w:rPr>
              <w:t>océan</w:t>
            </w:r>
          </w:p>
          <w:p w:rsidR="00C1365E" w:rsidRPr="00A406B0" w:rsidRDefault="00C1365E" w:rsidP="00E12D4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776" w:type="dxa"/>
          </w:tcPr>
          <w:p w:rsidR="00C1365E" w:rsidRPr="00A406B0" w:rsidRDefault="00C1365E" w:rsidP="00E12D48">
            <w:pPr>
              <w:rPr>
                <w:rFonts w:cstheme="minorHAnsi"/>
                <w:sz w:val="22"/>
                <w:szCs w:val="22"/>
              </w:rPr>
            </w:pPr>
            <w:r w:rsidRPr="00A406B0">
              <w:rPr>
                <w:rFonts w:cstheme="minorHAns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672" w:type="dxa"/>
          </w:tcPr>
          <w:p w:rsidR="00C1365E" w:rsidRDefault="00C1365E" w:rsidP="00E12D48">
            <w:pPr>
              <w:rPr>
                <w:rFonts w:cstheme="minorHAnsi"/>
                <w:sz w:val="22"/>
                <w:szCs w:val="22"/>
              </w:rPr>
            </w:pPr>
            <w:r w:rsidRPr="00A406B0">
              <w:rPr>
                <w:rFonts w:cstheme="minorHAnsi"/>
                <w:sz w:val="22"/>
                <w:szCs w:val="22"/>
              </w:rPr>
              <w:t xml:space="preserve">• </w:t>
            </w:r>
            <w:r w:rsidRPr="00D2174E">
              <w:rPr>
                <w:rFonts w:cstheme="minorHAnsi"/>
                <w:sz w:val="22"/>
                <w:szCs w:val="22"/>
                <w:u w:val="single"/>
              </w:rPr>
              <w:t>Indice dans les chaînes de montagnes</w:t>
            </w:r>
            <w:r>
              <w:rPr>
                <w:rFonts w:cstheme="minorHAnsi"/>
                <w:sz w:val="22"/>
                <w:szCs w:val="22"/>
              </w:rPr>
              <w:t> :</w:t>
            </w:r>
          </w:p>
          <w:p w:rsidR="00C1365E" w:rsidRPr="00A406B0" w:rsidRDefault="00C1365E" w:rsidP="00E12D4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076" w:type="dxa"/>
          </w:tcPr>
          <w:p w:rsidR="00C1365E" w:rsidRPr="00A406B0" w:rsidRDefault="00C1365E" w:rsidP="00E12D4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1365E" w:rsidRPr="00A406B0" w:rsidTr="00E12D48">
        <w:tc>
          <w:tcPr>
            <w:tcW w:w="2075" w:type="dxa"/>
            <w:vMerge/>
          </w:tcPr>
          <w:p w:rsidR="00C1365E" w:rsidRPr="00A406B0" w:rsidRDefault="00C1365E" w:rsidP="00E12D4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91" w:type="dxa"/>
          </w:tcPr>
          <w:p w:rsidR="00C1365E" w:rsidRPr="004B238E" w:rsidRDefault="00C1365E" w:rsidP="00E12D4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4B238E">
              <w:rPr>
                <w:rFonts w:cstheme="minorHAnsi"/>
                <w:b/>
                <w:bCs/>
                <w:sz w:val="22"/>
                <w:szCs w:val="22"/>
                <w:u w:val="single"/>
              </w:rPr>
              <w:t>Etape n°2</w:t>
            </w:r>
            <w:r w:rsidRPr="004B238E">
              <w:rPr>
                <w:rFonts w:cstheme="minorHAnsi"/>
                <w:b/>
                <w:bCs/>
                <w:sz w:val="22"/>
                <w:szCs w:val="22"/>
              </w:rPr>
              <w:t> : collision continentale</w:t>
            </w:r>
          </w:p>
          <w:p w:rsidR="00C1365E" w:rsidRPr="00A406B0" w:rsidRDefault="00C1365E" w:rsidP="00E12D4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776" w:type="dxa"/>
          </w:tcPr>
          <w:p w:rsidR="00C1365E" w:rsidRPr="00A406B0" w:rsidRDefault="00C1365E" w:rsidP="00E12D48">
            <w:pPr>
              <w:rPr>
                <w:rFonts w:cstheme="minorHAnsi"/>
                <w:noProof/>
                <w:sz w:val="22"/>
                <w:szCs w:val="22"/>
              </w:rPr>
            </w:pPr>
          </w:p>
          <w:p w:rsidR="00C1365E" w:rsidRPr="00A406B0" w:rsidRDefault="00C1365E" w:rsidP="00E12D48">
            <w:pPr>
              <w:rPr>
                <w:rFonts w:cstheme="minorHAnsi"/>
                <w:noProof/>
                <w:sz w:val="22"/>
                <w:szCs w:val="22"/>
              </w:rPr>
            </w:pPr>
          </w:p>
          <w:p w:rsidR="00C1365E" w:rsidRPr="00A406B0" w:rsidRDefault="00C1365E" w:rsidP="00E12D48">
            <w:pPr>
              <w:rPr>
                <w:rFonts w:cstheme="minorHAnsi"/>
                <w:noProof/>
                <w:sz w:val="22"/>
                <w:szCs w:val="22"/>
              </w:rPr>
            </w:pPr>
          </w:p>
          <w:p w:rsidR="00C1365E" w:rsidRPr="00A406B0" w:rsidRDefault="00C1365E" w:rsidP="00E12D48">
            <w:pPr>
              <w:rPr>
                <w:rFonts w:cstheme="minorHAnsi"/>
                <w:sz w:val="22"/>
                <w:szCs w:val="22"/>
              </w:rPr>
            </w:pPr>
            <w:r w:rsidRPr="00A406B0">
              <w:rPr>
                <w:rFonts w:cstheme="minorHAns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672" w:type="dxa"/>
          </w:tcPr>
          <w:p w:rsidR="00C1365E" w:rsidRDefault="00C1365E" w:rsidP="00E12D48">
            <w:pPr>
              <w:rPr>
                <w:rFonts w:cstheme="minorHAnsi"/>
                <w:sz w:val="22"/>
                <w:szCs w:val="22"/>
              </w:rPr>
            </w:pPr>
            <w:r w:rsidRPr="00A406B0">
              <w:rPr>
                <w:rFonts w:cstheme="minorHAnsi"/>
                <w:sz w:val="22"/>
                <w:szCs w:val="22"/>
              </w:rPr>
              <w:t xml:space="preserve">• </w:t>
            </w:r>
            <w:r w:rsidRPr="00D2174E">
              <w:rPr>
                <w:rFonts w:cstheme="minorHAnsi"/>
                <w:sz w:val="22"/>
                <w:szCs w:val="22"/>
                <w:u w:val="single"/>
              </w:rPr>
              <w:t>Indice</w:t>
            </w:r>
            <w:r>
              <w:rPr>
                <w:rFonts w:cstheme="minorHAnsi"/>
                <w:sz w:val="22"/>
                <w:szCs w:val="22"/>
                <w:u w:val="single"/>
              </w:rPr>
              <w:t>s</w:t>
            </w:r>
            <w:r w:rsidRPr="00D2174E">
              <w:rPr>
                <w:rFonts w:cstheme="minorHAnsi"/>
                <w:sz w:val="22"/>
                <w:szCs w:val="22"/>
                <w:u w:val="single"/>
              </w:rPr>
              <w:t xml:space="preserve"> dans les chaînes de montagnes</w:t>
            </w:r>
            <w:r>
              <w:rPr>
                <w:rFonts w:cstheme="minorHAnsi"/>
                <w:sz w:val="22"/>
                <w:szCs w:val="22"/>
              </w:rPr>
              <w:t> :</w:t>
            </w:r>
          </w:p>
          <w:p w:rsidR="00C1365E" w:rsidRPr="00A406B0" w:rsidRDefault="00C1365E" w:rsidP="00E12D4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076" w:type="dxa"/>
          </w:tcPr>
          <w:p w:rsidR="00C1365E" w:rsidRPr="004B238E" w:rsidRDefault="00C1365E" w:rsidP="00E12D4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1365E" w:rsidRPr="00A406B0" w:rsidTr="00E12D48">
        <w:trPr>
          <w:gridAfter w:val="4"/>
          <w:wAfter w:w="12315" w:type="dxa"/>
        </w:trPr>
        <w:tc>
          <w:tcPr>
            <w:tcW w:w="2075" w:type="dxa"/>
          </w:tcPr>
          <w:p w:rsidR="00C1365E" w:rsidRDefault="00C1365E" w:rsidP="00E12D48">
            <w:pPr>
              <w:pStyle w:val="Paragraphedeliste"/>
              <w:ind w:left="360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463B4F" wp14:editId="4C5E17BF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81915</wp:posOffset>
                      </wp:positionV>
                      <wp:extent cx="259977" cy="206188"/>
                      <wp:effectExtent l="12700" t="0" r="19685" b="22860"/>
                      <wp:wrapNone/>
                      <wp:docPr id="11" name="Flèche vers le ba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977" cy="206188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D347E0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Flèche vers le bas 11" o:spid="_x0000_s1026" type="#_x0000_t67" style="position:absolute;margin-left:29.4pt;margin-top:6.45pt;width:20.45pt;height:1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" adj="10800" fillcolor="#4472c4 [3204]" strokecolor="#1f3763 [1604]" strokeweight="1pt"/>
                  </w:pict>
                </mc:Fallback>
              </mc:AlternateContent>
            </w:r>
          </w:p>
          <w:p w:rsidR="00C1365E" w:rsidRDefault="00C1365E" w:rsidP="00E12D48">
            <w:pPr>
              <w:pStyle w:val="Paragraphedeliste"/>
              <w:ind w:left="360"/>
              <w:rPr>
                <w:rFonts w:cstheme="minorHAnsi"/>
                <w:b/>
                <w:bCs/>
                <w:sz w:val="22"/>
                <w:szCs w:val="22"/>
              </w:rPr>
            </w:pPr>
          </w:p>
          <w:p w:rsidR="00C1365E" w:rsidRPr="00A406B0" w:rsidRDefault="00C1365E" w:rsidP="00E12D48">
            <w:pPr>
              <w:pStyle w:val="Paragraphedeliste"/>
              <w:ind w:left="0"/>
              <w:jc w:val="center"/>
              <w:rPr>
                <w:rFonts w:cstheme="minorHAnsi"/>
                <w:sz w:val="22"/>
                <w:szCs w:val="22"/>
              </w:rPr>
            </w:pPr>
            <w:r w:rsidRPr="00A406B0">
              <w:rPr>
                <w:rFonts w:cstheme="minorHAnsi"/>
                <w:b/>
                <w:bCs/>
                <w:sz w:val="22"/>
                <w:szCs w:val="22"/>
              </w:rPr>
              <w:t>Cycles orogéniques</w:t>
            </w:r>
          </w:p>
        </w:tc>
      </w:tr>
    </w:tbl>
    <w:p w:rsidR="002A53FB" w:rsidRDefault="002A53FB"/>
    <w:sectPr w:rsidR="002A53FB" w:rsidSect="00C1365E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5E"/>
    <w:rsid w:val="002A53FB"/>
    <w:rsid w:val="002D4A11"/>
    <w:rsid w:val="002F01C1"/>
    <w:rsid w:val="004F0554"/>
    <w:rsid w:val="00797D3A"/>
    <w:rsid w:val="00913D50"/>
    <w:rsid w:val="00C1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B022122-66AF-9946-A289-1B4EAF37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6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13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13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564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THERY</dc:creator>
  <cp:keywords/>
  <dc:description/>
  <cp:lastModifiedBy>Frédérique THERY</cp:lastModifiedBy>
  <cp:revision>1</cp:revision>
  <dcterms:created xsi:type="dcterms:W3CDTF">2020-12-09T19:32:00Z</dcterms:created>
  <dcterms:modified xsi:type="dcterms:W3CDTF">2020-12-09T19:33:00Z</dcterms:modified>
</cp:coreProperties>
</file>