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E5A3B" w14:textId="77777777" w:rsidR="009D29FC" w:rsidRPr="009D29FC" w:rsidRDefault="009D29FC" w:rsidP="009D29FC">
      <w:pPr>
        <w:pBdr>
          <w:top w:val="single" w:sz="4" w:space="1" w:color="auto"/>
          <w:left w:val="single" w:sz="4" w:space="4" w:color="auto"/>
          <w:bottom w:val="single" w:sz="4" w:space="1" w:color="auto"/>
          <w:right w:val="single" w:sz="4" w:space="4" w:color="auto"/>
        </w:pBdr>
        <w:jc w:val="center"/>
      </w:pPr>
      <w:r w:rsidRPr="009D29FC">
        <w:rPr>
          <w:b/>
          <w:bCs/>
        </w:rPr>
        <w:t>Stress et transit intestinal</w:t>
      </w:r>
    </w:p>
    <w:p w14:paraId="23B63475" w14:textId="05B5508D" w:rsidR="009D29FC" w:rsidRDefault="009D29FC" w:rsidP="009D29FC">
      <w:r w:rsidRPr="009D29FC">
        <w:t>Un stress aigu est souvent associé à des troubles intestinaux, notamment une accélération du transit intestinal, c’est-à-dire que les produits issus de l’alimentation progressent plus rapidement qu’en situation normale dans l’intestin grêle puis dans le gros intestin.</w:t>
      </w:r>
    </w:p>
    <w:p w14:paraId="28FA7223" w14:textId="77777777" w:rsidR="009D29FC" w:rsidRPr="009D29FC" w:rsidRDefault="009D29FC" w:rsidP="009D29FC">
      <w:r w:rsidRPr="009D29FC">
        <w:rPr>
          <w:b/>
          <w:bCs/>
        </w:rPr>
        <w:t>Proposer une explication au fait que le stress aigu accélère le transit intestinal chez les rongeurs.</w:t>
      </w:r>
    </w:p>
    <w:p w14:paraId="2BC122E4" w14:textId="77777777" w:rsidR="009D29FC" w:rsidRPr="009D29FC" w:rsidRDefault="009D29FC" w:rsidP="009D29FC">
      <w:r w:rsidRPr="009D29FC">
        <w:rPr>
          <w:i/>
          <w:iCs/>
        </w:rPr>
        <w:t>Vous organiserez votre réponse selon une démarche de votre choix intégrant des données des documents et les connaissances utiles.</w:t>
      </w:r>
    </w:p>
    <w:p w14:paraId="404C48F0" w14:textId="3F96E454" w:rsidR="009D29FC" w:rsidRPr="009D29FC" w:rsidRDefault="009D29FC" w:rsidP="009D29FC">
      <w:r w:rsidRPr="009D29FC">
        <w:rPr>
          <w:b/>
          <w:bCs/>
          <w:u w:val="single"/>
        </w:rPr>
        <w:t>Document 1</w:t>
      </w:r>
      <w:r w:rsidRPr="009D29FC">
        <w:rPr>
          <w:b/>
          <w:bCs/>
        </w:rPr>
        <w:t> : mesure de la concentration sanguine de corticostérone</w:t>
      </w:r>
    </w:p>
    <w:p w14:paraId="4996F1AF" w14:textId="7B3759A8" w:rsidR="009D29FC" w:rsidRPr="009D29FC" w:rsidRDefault="009D29FC" w:rsidP="009D29FC">
      <w:r w:rsidRPr="009D29FC">
        <w:t>Afin de les exposer à une situation de stress, des souris ont été soumises au stress de l’évitement de l’eau, c’est-à-dire qu’elles ont été placées sur une plate-forme surélevée à 1 cm au-dessus du niveau de l’eau, au centre d’un réservoir en plastique, pendant 1h, 4 jours de suite.</w:t>
      </w:r>
      <w:r w:rsidRPr="009D29FC">
        <w:br/>
        <w:t>Les concentrations sanguines en corticostérone de ces souris ainsi que celles de souris non soumises à ce stress ont été mesurées. La corticostérone est un équivalent du cortisol chez l’être humain. Chaque point du graphique correspond à la mesure réalisée chez une souris.</w:t>
      </w:r>
    </w:p>
    <w:p w14:paraId="3EC29FE4" w14:textId="68674C93" w:rsidR="009D29FC" w:rsidRPr="009D29FC" w:rsidRDefault="009D29FC" w:rsidP="009D29FC">
      <w:r w:rsidRPr="009D29FC">
        <w:drawing>
          <wp:anchor distT="0" distB="0" distL="114300" distR="114300" simplePos="0" relativeHeight="251658240" behindDoc="0" locked="0" layoutInCell="1" allowOverlap="1" wp14:anchorId="34328406" wp14:editId="203A7D35">
            <wp:simplePos x="0" y="0"/>
            <wp:positionH relativeFrom="column">
              <wp:posOffset>2905125</wp:posOffset>
            </wp:positionH>
            <wp:positionV relativeFrom="paragraph">
              <wp:posOffset>190500</wp:posOffset>
            </wp:positionV>
            <wp:extent cx="3505200" cy="2247900"/>
            <wp:effectExtent l="0" t="0" r="0" b="0"/>
            <wp:wrapSquare wrapText="bothSides"/>
            <wp:docPr id="133213413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5200" cy="2247900"/>
                    </a:xfrm>
                    <a:prstGeom prst="rect">
                      <a:avLst/>
                    </a:prstGeom>
                    <a:noFill/>
                    <a:ln>
                      <a:noFill/>
                    </a:ln>
                  </pic:spPr>
                </pic:pic>
              </a:graphicData>
            </a:graphic>
          </wp:anchor>
        </w:drawing>
      </w:r>
    </w:p>
    <w:p w14:paraId="4B7CB516" w14:textId="34DB9EC9" w:rsidR="009D29FC" w:rsidRPr="009D29FC" w:rsidRDefault="009D29FC" w:rsidP="009D29FC">
      <w:r w:rsidRPr="009D29FC">
        <w:t>Control : souris non soumises au stress de l’évitement de l’eau</w:t>
      </w:r>
      <w:r w:rsidRPr="009D29FC">
        <w:br/>
        <w:t xml:space="preserve">WAS (Water </w:t>
      </w:r>
      <w:proofErr w:type="spellStart"/>
      <w:r w:rsidRPr="009D29FC">
        <w:t>avoidance</w:t>
      </w:r>
      <w:proofErr w:type="spellEnd"/>
      <w:r w:rsidRPr="009D29FC">
        <w:t xml:space="preserve"> stress) : souris soumises au stress de l’évitement de l’eau</w:t>
      </w:r>
      <w:r w:rsidRPr="009D29FC">
        <w:br/>
        <w:t>**** : significativement différent</w:t>
      </w:r>
    </w:p>
    <w:p w14:paraId="0A3BDCDF" w14:textId="77777777" w:rsidR="009D29FC" w:rsidRPr="009D29FC" w:rsidRDefault="009D29FC" w:rsidP="009D29FC">
      <w:r w:rsidRPr="009D29FC">
        <w:rPr>
          <w:i/>
          <w:iCs/>
        </w:rPr>
        <w:t xml:space="preserve">Source : d’après Blin et al. (2023). </w:t>
      </w:r>
      <w:proofErr w:type="spellStart"/>
      <w:r w:rsidRPr="009D29FC">
        <w:rPr>
          <w:i/>
          <w:iCs/>
        </w:rPr>
        <w:t>Psychological</w:t>
      </w:r>
      <w:proofErr w:type="spellEnd"/>
      <w:r w:rsidRPr="009D29FC">
        <w:rPr>
          <w:i/>
          <w:iCs/>
        </w:rPr>
        <w:t xml:space="preserve"> stress </w:t>
      </w:r>
      <w:proofErr w:type="spellStart"/>
      <w:r w:rsidRPr="009D29FC">
        <w:rPr>
          <w:i/>
          <w:iCs/>
        </w:rPr>
        <w:t>induces</w:t>
      </w:r>
      <w:proofErr w:type="spellEnd"/>
      <w:r w:rsidRPr="009D29FC">
        <w:rPr>
          <w:i/>
          <w:iCs/>
        </w:rPr>
        <w:t xml:space="preserve"> </w:t>
      </w:r>
      <w:proofErr w:type="spellStart"/>
      <w:r w:rsidRPr="009D29FC">
        <w:rPr>
          <w:i/>
          <w:iCs/>
        </w:rPr>
        <w:t>anincrease</w:t>
      </w:r>
      <w:proofErr w:type="spellEnd"/>
      <w:r w:rsidRPr="009D29FC">
        <w:rPr>
          <w:i/>
          <w:iCs/>
        </w:rPr>
        <w:t xml:space="preserve"> in </w:t>
      </w:r>
      <w:proofErr w:type="spellStart"/>
      <w:r w:rsidRPr="009D29FC">
        <w:rPr>
          <w:i/>
          <w:iCs/>
        </w:rPr>
        <w:t>cholinergic</w:t>
      </w:r>
      <w:proofErr w:type="spellEnd"/>
      <w:r w:rsidRPr="009D29FC">
        <w:rPr>
          <w:i/>
          <w:iCs/>
        </w:rPr>
        <w:t xml:space="preserve"> </w:t>
      </w:r>
      <w:proofErr w:type="spellStart"/>
      <w:r w:rsidRPr="009D29FC">
        <w:rPr>
          <w:i/>
          <w:iCs/>
        </w:rPr>
        <w:t>enteric</w:t>
      </w:r>
      <w:proofErr w:type="spellEnd"/>
      <w:r w:rsidRPr="009D29FC">
        <w:rPr>
          <w:i/>
          <w:iCs/>
        </w:rPr>
        <w:t xml:space="preserve"> </w:t>
      </w:r>
      <w:proofErr w:type="spellStart"/>
      <w:r w:rsidRPr="009D29FC">
        <w:rPr>
          <w:i/>
          <w:iCs/>
        </w:rPr>
        <w:t>neuromuscular</w:t>
      </w:r>
      <w:proofErr w:type="spellEnd"/>
      <w:r w:rsidRPr="009D29FC">
        <w:rPr>
          <w:i/>
          <w:iCs/>
        </w:rPr>
        <w:t xml:space="preserve"> </w:t>
      </w:r>
      <w:proofErr w:type="spellStart"/>
      <w:r w:rsidRPr="009D29FC">
        <w:rPr>
          <w:i/>
          <w:iCs/>
        </w:rPr>
        <w:t>pathways</w:t>
      </w:r>
      <w:proofErr w:type="spellEnd"/>
      <w:r w:rsidRPr="009D29FC">
        <w:rPr>
          <w:i/>
          <w:iCs/>
        </w:rPr>
        <w:t xml:space="preserve"> </w:t>
      </w:r>
      <w:proofErr w:type="spellStart"/>
      <w:r w:rsidRPr="009D29FC">
        <w:rPr>
          <w:i/>
          <w:iCs/>
        </w:rPr>
        <w:t>mediates</w:t>
      </w:r>
      <w:proofErr w:type="spellEnd"/>
      <w:r w:rsidRPr="009D29FC">
        <w:rPr>
          <w:i/>
          <w:iCs/>
        </w:rPr>
        <w:t xml:space="preserve"> by </w:t>
      </w:r>
      <w:proofErr w:type="spellStart"/>
      <w:r w:rsidRPr="009D29FC">
        <w:rPr>
          <w:i/>
          <w:iCs/>
        </w:rPr>
        <w:t>glucocorticoid</w:t>
      </w:r>
      <w:proofErr w:type="spellEnd"/>
      <w:r w:rsidRPr="009D29FC">
        <w:rPr>
          <w:i/>
          <w:iCs/>
        </w:rPr>
        <w:t xml:space="preserve"> </w:t>
      </w:r>
      <w:proofErr w:type="spellStart"/>
      <w:r w:rsidRPr="009D29FC">
        <w:rPr>
          <w:i/>
          <w:iCs/>
        </w:rPr>
        <w:t>receptors</w:t>
      </w:r>
      <w:proofErr w:type="spellEnd"/>
    </w:p>
    <w:p w14:paraId="3594FC41" w14:textId="77777777" w:rsidR="009D29FC" w:rsidRPr="009D29FC" w:rsidRDefault="009D29FC" w:rsidP="009D29FC">
      <w:r w:rsidRPr="009D29FC">
        <w:t> </w:t>
      </w:r>
    </w:p>
    <w:p w14:paraId="2F9E07A8" w14:textId="77777777" w:rsidR="009D29FC" w:rsidRPr="009D29FC" w:rsidRDefault="009D29FC" w:rsidP="009D29FC">
      <w:r w:rsidRPr="009D29FC">
        <w:rPr>
          <w:b/>
          <w:bCs/>
          <w:u w:val="single"/>
        </w:rPr>
        <w:t>Document 2</w:t>
      </w:r>
      <w:r w:rsidRPr="009D29FC">
        <w:rPr>
          <w:b/>
          <w:bCs/>
        </w:rPr>
        <w:t> : étude des neurones du plexus myentérique, impliqués dans le transit intestinal</w:t>
      </w:r>
    </w:p>
    <w:p w14:paraId="5C987ACA" w14:textId="77777777" w:rsidR="009D29FC" w:rsidRPr="009D29FC" w:rsidRDefault="009D29FC" w:rsidP="009D29FC">
      <w:r w:rsidRPr="009D29FC">
        <w:rPr>
          <w:b/>
          <w:bCs/>
          <w:u w:val="single"/>
        </w:rPr>
        <w:t>Document 2a</w:t>
      </w:r>
      <w:r w:rsidRPr="009D29FC">
        <w:rPr>
          <w:b/>
          <w:bCs/>
        </w:rPr>
        <w:t> : localisation du plexus myentérique dans l’intestin</w:t>
      </w:r>
    </w:p>
    <w:p w14:paraId="60AB9184" w14:textId="0F16836F" w:rsidR="009D29FC" w:rsidRPr="009D29FC" w:rsidRDefault="009D29FC" w:rsidP="009D29FC">
      <w:r w:rsidRPr="009D29FC">
        <w:drawing>
          <wp:anchor distT="0" distB="0" distL="114300" distR="114300" simplePos="0" relativeHeight="251659264" behindDoc="1" locked="0" layoutInCell="1" allowOverlap="1" wp14:anchorId="10FFB7C5" wp14:editId="0956AE4C">
            <wp:simplePos x="0" y="0"/>
            <wp:positionH relativeFrom="column">
              <wp:posOffset>3800475</wp:posOffset>
            </wp:positionH>
            <wp:positionV relativeFrom="paragraph">
              <wp:posOffset>265430</wp:posOffset>
            </wp:positionV>
            <wp:extent cx="2735811" cy="1933575"/>
            <wp:effectExtent l="0" t="0" r="7620" b="0"/>
            <wp:wrapTight wrapText="bothSides">
              <wp:wrapPolygon edited="0">
                <wp:start x="0" y="0"/>
                <wp:lineTo x="0" y="21281"/>
                <wp:lineTo x="21510" y="21281"/>
                <wp:lineTo x="21510" y="0"/>
                <wp:lineTo x="0" y="0"/>
              </wp:wrapPolygon>
            </wp:wrapTight>
            <wp:docPr id="97665917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5811" cy="1933575"/>
                    </a:xfrm>
                    <a:prstGeom prst="rect">
                      <a:avLst/>
                    </a:prstGeom>
                    <a:noFill/>
                    <a:ln>
                      <a:noFill/>
                    </a:ln>
                  </pic:spPr>
                </pic:pic>
              </a:graphicData>
            </a:graphic>
          </wp:anchor>
        </w:drawing>
      </w:r>
      <w:r w:rsidRPr="009D29FC">
        <w:rPr>
          <w:u w:val="single"/>
        </w:rPr>
        <w:t>Coupe transversale de l’intestin</w:t>
      </w:r>
    </w:p>
    <w:p w14:paraId="0E1ACE82" w14:textId="77777777" w:rsidR="009D29FC" w:rsidRPr="009D29FC" w:rsidRDefault="009D29FC" w:rsidP="009D29FC">
      <w:r w:rsidRPr="009D29FC">
        <w:rPr>
          <w:i/>
          <w:iCs/>
        </w:rPr>
        <w:t xml:space="preserve">Source : d’après </w:t>
      </w:r>
      <w:proofErr w:type="spellStart"/>
      <w:proofErr w:type="gramStart"/>
      <w:r w:rsidRPr="009D29FC">
        <w:rPr>
          <w:i/>
          <w:iCs/>
        </w:rPr>
        <w:t>T.Lebouvier</w:t>
      </w:r>
      <w:proofErr w:type="spellEnd"/>
      <w:proofErr w:type="gramEnd"/>
      <w:r w:rsidRPr="009D29FC">
        <w:rPr>
          <w:i/>
          <w:iCs/>
        </w:rPr>
        <w:t xml:space="preserve"> (2008). Système nerveux entérique et maladie de Parkinson – Thèse pour le Diplôme d’Etat de Docteur en Médecine – Université de Nantes</w:t>
      </w:r>
    </w:p>
    <w:p w14:paraId="3571011B" w14:textId="77777777" w:rsidR="009D29FC" w:rsidRPr="009D29FC" w:rsidRDefault="009D29FC" w:rsidP="009D29FC">
      <w:r w:rsidRPr="009D29FC">
        <w:t>Les produits issus de l’alimentation, après être passés par la bouche, l’</w:t>
      </w:r>
      <w:proofErr w:type="spellStart"/>
      <w:r w:rsidRPr="009D29FC">
        <w:t>oesophage</w:t>
      </w:r>
      <w:proofErr w:type="spellEnd"/>
      <w:r w:rsidRPr="009D29FC">
        <w:t xml:space="preserve"> et l’estomac, progressent dans la lumière de l’intestin grêle puis du gros intestin. Leur avancée, que l’on appelle transit intestinal, est permise par des cycles de contraction-relâchement des muscles circulaires et longitudinaux lisses situés dans la paroi des intestins. Les plexus myentériques et sous-muqueux sont constitués de neurones regroupés en ganglions.</w:t>
      </w:r>
    </w:p>
    <w:p w14:paraId="4B444545" w14:textId="77777777" w:rsidR="009D29FC" w:rsidRPr="009D29FC" w:rsidRDefault="009D29FC" w:rsidP="009D29FC">
      <w:r w:rsidRPr="009D29FC">
        <w:rPr>
          <w:b/>
          <w:bCs/>
          <w:u w:val="single"/>
        </w:rPr>
        <w:lastRenderedPageBreak/>
        <w:t>Document 2b</w:t>
      </w:r>
      <w:r w:rsidRPr="009D29FC">
        <w:rPr>
          <w:b/>
          <w:bCs/>
        </w:rPr>
        <w:t> : mesure de l’activité des neurones du plexus myentérique</w:t>
      </w:r>
    </w:p>
    <w:p w14:paraId="15224774" w14:textId="2698FBC0" w:rsidR="009D29FC" w:rsidRPr="009D29FC" w:rsidRDefault="009D29FC" w:rsidP="009D29FC">
      <w:r w:rsidRPr="009D29FC">
        <w:drawing>
          <wp:anchor distT="0" distB="0" distL="114300" distR="114300" simplePos="0" relativeHeight="251660288" behindDoc="1" locked="0" layoutInCell="1" allowOverlap="1" wp14:anchorId="3D39AF06" wp14:editId="0261DB79">
            <wp:simplePos x="0" y="0"/>
            <wp:positionH relativeFrom="margin">
              <wp:posOffset>2943225</wp:posOffset>
            </wp:positionH>
            <wp:positionV relativeFrom="paragraph">
              <wp:posOffset>1026160</wp:posOffset>
            </wp:positionV>
            <wp:extent cx="3695700" cy="3846830"/>
            <wp:effectExtent l="0" t="0" r="0" b="1270"/>
            <wp:wrapTight wrapText="bothSides">
              <wp:wrapPolygon edited="0">
                <wp:start x="0" y="0"/>
                <wp:lineTo x="0" y="21500"/>
                <wp:lineTo x="21489" y="21500"/>
                <wp:lineTo x="21489" y="0"/>
                <wp:lineTo x="0" y="0"/>
              </wp:wrapPolygon>
            </wp:wrapTight>
            <wp:docPr id="188007330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5700" cy="384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29FC">
        <w:t>Des fragments de gros intestin provenant de rats soumis au même protocole que les souris du document 1 ont été récupérés puis marqués par immunohistochimie afin de mettre en évidence la présence de la protéine Fos, qui est un marqueur de l’activité des neurones. La protéine Fos apparaît en gris clair sur les photographies. Les expériences ont été réalisées sur le début du gros intestin (= partie proximale) et sur la fin du gros intestin (= partie distale).</w:t>
      </w:r>
    </w:p>
    <w:p w14:paraId="5F1BE962" w14:textId="79D62010" w:rsidR="009D29FC" w:rsidRPr="009D29FC" w:rsidRDefault="009D29FC" w:rsidP="009D29FC">
      <w:r w:rsidRPr="009D29FC">
        <w:rPr>
          <w:u w:val="single"/>
        </w:rPr>
        <w:t>Photographies au microscope de ganglions du plexus myentérique de la partie proximale (</w:t>
      </w:r>
      <w:proofErr w:type="spellStart"/>
      <w:r w:rsidRPr="009D29FC">
        <w:rPr>
          <w:u w:val="single"/>
        </w:rPr>
        <w:t>a</w:t>
      </w:r>
      <w:proofErr w:type="spellEnd"/>
      <w:r w:rsidRPr="009D29FC">
        <w:rPr>
          <w:u w:val="single"/>
        </w:rPr>
        <w:t xml:space="preserve"> et b) et distale (c et d) du gros intestin de rats</w:t>
      </w:r>
    </w:p>
    <w:p w14:paraId="4CD52FF0" w14:textId="66DEB753" w:rsidR="009D29FC" w:rsidRPr="009D29FC" w:rsidRDefault="009D29FC" w:rsidP="009D29FC"/>
    <w:p w14:paraId="299CF423" w14:textId="77777777" w:rsidR="009D29FC" w:rsidRPr="009D29FC" w:rsidRDefault="009D29FC" w:rsidP="009D29FC">
      <w:r w:rsidRPr="009D29FC">
        <w:t>Groupe témoin : rats non soumis au stress de l’évitement de l’eau</w:t>
      </w:r>
      <w:r w:rsidRPr="009D29FC">
        <w:br/>
        <w:t xml:space="preserve">WAS (Water </w:t>
      </w:r>
      <w:proofErr w:type="spellStart"/>
      <w:r w:rsidRPr="009D29FC">
        <w:t>avoidance</w:t>
      </w:r>
      <w:proofErr w:type="spellEnd"/>
      <w:r w:rsidRPr="009D29FC">
        <w:t xml:space="preserve"> stress) : rat soumis au stress de l’évitement de l’eau</w:t>
      </w:r>
    </w:p>
    <w:p w14:paraId="054EB66A" w14:textId="77777777" w:rsidR="009D29FC" w:rsidRPr="009D29FC" w:rsidRDefault="009D29FC" w:rsidP="009D29FC">
      <w:r w:rsidRPr="009D29FC">
        <w:t>Les résultats présentés ici sont représentatifs pour l’ensemble du gros intestin.</w:t>
      </w:r>
    </w:p>
    <w:p w14:paraId="37B8AFDD" w14:textId="77777777" w:rsidR="009D29FC" w:rsidRPr="009D29FC" w:rsidRDefault="009D29FC" w:rsidP="009D29FC">
      <w:r w:rsidRPr="009D29FC">
        <w:rPr>
          <w:i/>
          <w:iCs/>
        </w:rPr>
        <w:t xml:space="preserve">Source : d’après </w:t>
      </w:r>
      <w:proofErr w:type="spellStart"/>
      <w:r w:rsidRPr="009D29FC">
        <w:rPr>
          <w:i/>
          <w:iCs/>
        </w:rPr>
        <w:t>Miampamba</w:t>
      </w:r>
      <w:proofErr w:type="spellEnd"/>
      <w:r w:rsidRPr="009D29FC">
        <w:rPr>
          <w:i/>
          <w:iCs/>
        </w:rPr>
        <w:t xml:space="preserve"> et al. (2007). Water </w:t>
      </w:r>
      <w:proofErr w:type="spellStart"/>
      <w:r w:rsidRPr="009D29FC">
        <w:rPr>
          <w:i/>
          <w:iCs/>
        </w:rPr>
        <w:t>avoidance</w:t>
      </w:r>
      <w:proofErr w:type="spellEnd"/>
      <w:r w:rsidRPr="009D29FC">
        <w:rPr>
          <w:i/>
          <w:iCs/>
        </w:rPr>
        <w:t xml:space="preserve"> stress </w:t>
      </w:r>
      <w:proofErr w:type="spellStart"/>
      <w:r w:rsidRPr="009D29FC">
        <w:rPr>
          <w:i/>
          <w:iCs/>
        </w:rPr>
        <w:t>activates</w:t>
      </w:r>
      <w:proofErr w:type="spellEnd"/>
      <w:r w:rsidRPr="009D29FC">
        <w:rPr>
          <w:i/>
          <w:iCs/>
        </w:rPr>
        <w:t xml:space="preserve"> </w:t>
      </w:r>
      <w:proofErr w:type="spellStart"/>
      <w:r w:rsidRPr="009D29FC">
        <w:rPr>
          <w:i/>
          <w:iCs/>
        </w:rPr>
        <w:t>colonic</w:t>
      </w:r>
      <w:proofErr w:type="spellEnd"/>
      <w:r w:rsidRPr="009D29FC">
        <w:rPr>
          <w:i/>
          <w:iCs/>
        </w:rPr>
        <w:t xml:space="preserve"> </w:t>
      </w:r>
      <w:proofErr w:type="spellStart"/>
      <w:r w:rsidRPr="009D29FC">
        <w:rPr>
          <w:i/>
          <w:iCs/>
        </w:rPr>
        <w:t>myenteric</w:t>
      </w:r>
      <w:proofErr w:type="spellEnd"/>
      <w:r w:rsidRPr="009D29FC">
        <w:rPr>
          <w:i/>
          <w:iCs/>
        </w:rPr>
        <w:t xml:space="preserve"> </w:t>
      </w:r>
      <w:proofErr w:type="spellStart"/>
      <w:r w:rsidRPr="009D29FC">
        <w:rPr>
          <w:i/>
          <w:iCs/>
        </w:rPr>
        <w:t>neurons</w:t>
      </w:r>
      <w:proofErr w:type="spellEnd"/>
      <w:r w:rsidRPr="009D29FC">
        <w:rPr>
          <w:i/>
          <w:iCs/>
        </w:rPr>
        <w:t xml:space="preserve"> in </w:t>
      </w:r>
      <w:proofErr w:type="spellStart"/>
      <w:r w:rsidRPr="009D29FC">
        <w:rPr>
          <w:i/>
          <w:iCs/>
        </w:rPr>
        <w:t>female</w:t>
      </w:r>
      <w:proofErr w:type="spellEnd"/>
      <w:r w:rsidRPr="009D29FC">
        <w:rPr>
          <w:i/>
          <w:iCs/>
        </w:rPr>
        <w:t xml:space="preserve"> rats</w:t>
      </w:r>
    </w:p>
    <w:p w14:paraId="433F8355" w14:textId="77777777" w:rsidR="009D29FC" w:rsidRPr="009D29FC" w:rsidRDefault="009D29FC" w:rsidP="009D29FC">
      <w:r w:rsidRPr="009D29FC">
        <w:t> </w:t>
      </w:r>
    </w:p>
    <w:p w14:paraId="769E29BE" w14:textId="77777777" w:rsidR="009D29FC" w:rsidRPr="009D29FC" w:rsidRDefault="009D29FC" w:rsidP="009D29FC">
      <w:r w:rsidRPr="009D29FC">
        <w:rPr>
          <w:b/>
          <w:bCs/>
          <w:u w:val="single"/>
        </w:rPr>
        <w:t>Document 2c</w:t>
      </w:r>
      <w:r w:rsidRPr="009D29FC">
        <w:rPr>
          <w:b/>
          <w:bCs/>
        </w:rPr>
        <w:t> : mesure de la concentration d’acétylcholine dans le plexus myentérique</w:t>
      </w:r>
    </w:p>
    <w:p w14:paraId="2CB4645F" w14:textId="77777777" w:rsidR="009D29FC" w:rsidRPr="009D29FC" w:rsidRDefault="009D29FC" w:rsidP="009D29FC">
      <w:r w:rsidRPr="009D29FC">
        <w:t>Des neurones du plexus myentérique, dans lesquels ont été mis en évidence des récepteurs à la corticostérone, produisent de l’acétylcholine. Le CORT 108297 est un antagoniste des récepteurs à la corticostérone, c’est-à-dire qu’il peut se fixer durablement sur ces récepteurs sans les activer et en empêchant la corticostérone de s’y fixer. Des mesures de la concentration d’acétylcholine dans le plexus myentérique de souris ont été réalisées dans différentes conditions.</w:t>
      </w:r>
    </w:p>
    <w:tbl>
      <w:tblPr>
        <w:tblStyle w:val="Grilledutableau"/>
        <w:tblW w:w="5000" w:type="pct"/>
        <w:tblLook w:val="04A0" w:firstRow="1" w:lastRow="0" w:firstColumn="1" w:lastColumn="0" w:noHBand="0" w:noVBand="1"/>
      </w:tblPr>
      <w:tblGrid>
        <w:gridCol w:w="5098"/>
        <w:gridCol w:w="1700"/>
        <w:gridCol w:w="1044"/>
        <w:gridCol w:w="2614"/>
      </w:tblGrid>
      <w:tr w:rsidR="009D29FC" w:rsidRPr="009D29FC" w14:paraId="32580E8C" w14:textId="77777777" w:rsidTr="009D29FC">
        <w:tc>
          <w:tcPr>
            <w:tcW w:w="2438" w:type="pct"/>
            <w:hideMark/>
          </w:tcPr>
          <w:p w14:paraId="1F7B5E37" w14:textId="77777777" w:rsidR="009D29FC" w:rsidRPr="009D29FC" w:rsidRDefault="009D29FC" w:rsidP="009D29FC">
            <w:pPr>
              <w:spacing w:after="160" w:line="278" w:lineRule="auto"/>
            </w:pPr>
            <w:r w:rsidRPr="009D29FC">
              <w:t> </w:t>
            </w:r>
          </w:p>
        </w:tc>
        <w:tc>
          <w:tcPr>
            <w:tcW w:w="813" w:type="pct"/>
            <w:hideMark/>
          </w:tcPr>
          <w:p w14:paraId="5ADA2551" w14:textId="77777777" w:rsidR="009D29FC" w:rsidRPr="009D29FC" w:rsidRDefault="009D29FC" w:rsidP="009D29FC">
            <w:pPr>
              <w:spacing w:after="160" w:line="278" w:lineRule="auto"/>
            </w:pPr>
            <w:r w:rsidRPr="009D29FC">
              <w:t>Groupe témoin</w:t>
            </w:r>
          </w:p>
        </w:tc>
        <w:tc>
          <w:tcPr>
            <w:tcW w:w="499" w:type="pct"/>
            <w:hideMark/>
          </w:tcPr>
          <w:p w14:paraId="7DD67D3F" w14:textId="77777777" w:rsidR="009D29FC" w:rsidRPr="009D29FC" w:rsidRDefault="009D29FC" w:rsidP="009D29FC">
            <w:pPr>
              <w:spacing w:after="160" w:line="278" w:lineRule="auto"/>
            </w:pPr>
            <w:r w:rsidRPr="009D29FC">
              <w:t>WAS</w:t>
            </w:r>
          </w:p>
        </w:tc>
        <w:tc>
          <w:tcPr>
            <w:tcW w:w="1250" w:type="pct"/>
            <w:hideMark/>
          </w:tcPr>
          <w:p w14:paraId="288FDE83" w14:textId="30466D27" w:rsidR="009D29FC" w:rsidRPr="009D29FC" w:rsidRDefault="009D29FC" w:rsidP="009D29FC">
            <w:pPr>
              <w:spacing w:after="160" w:line="278" w:lineRule="auto"/>
            </w:pPr>
            <w:r w:rsidRPr="009D29FC">
              <w:t>WAS</w:t>
            </w:r>
            <w:r>
              <w:t xml:space="preserve"> </w:t>
            </w:r>
            <w:r w:rsidRPr="009D29FC">
              <w:t>+</w:t>
            </w:r>
            <w:r>
              <w:t xml:space="preserve"> </w:t>
            </w:r>
            <w:r w:rsidRPr="009D29FC">
              <w:t>CORT 108297</w:t>
            </w:r>
          </w:p>
        </w:tc>
      </w:tr>
      <w:tr w:rsidR="009D29FC" w:rsidRPr="009D29FC" w14:paraId="01E31D2F" w14:textId="77777777" w:rsidTr="009D29FC">
        <w:tc>
          <w:tcPr>
            <w:tcW w:w="2438" w:type="pct"/>
            <w:hideMark/>
          </w:tcPr>
          <w:p w14:paraId="7732EB38" w14:textId="77777777" w:rsidR="009D29FC" w:rsidRPr="009D29FC" w:rsidRDefault="009D29FC" w:rsidP="009D29FC">
            <w:pPr>
              <w:spacing w:after="160" w:line="278" w:lineRule="auto"/>
            </w:pPr>
            <w:r w:rsidRPr="009D29FC">
              <w:t>Concentration d’acétylcholine dans le plexus myentérique</w:t>
            </w:r>
            <w:r w:rsidRPr="009D29FC">
              <w:br/>
              <w:t xml:space="preserve">(en </w:t>
            </w:r>
            <w:proofErr w:type="spellStart"/>
            <w:r w:rsidRPr="009D29FC">
              <w:t>μmol</w:t>
            </w:r>
            <w:proofErr w:type="spellEnd"/>
            <w:r w:rsidRPr="009D29FC">
              <w:t>/μg de protéines)</w:t>
            </w:r>
          </w:p>
        </w:tc>
        <w:tc>
          <w:tcPr>
            <w:tcW w:w="813" w:type="pct"/>
            <w:hideMark/>
          </w:tcPr>
          <w:p w14:paraId="7776C5CA" w14:textId="77777777" w:rsidR="009D29FC" w:rsidRPr="009D29FC" w:rsidRDefault="009D29FC" w:rsidP="009D29FC">
            <w:pPr>
              <w:spacing w:after="160" w:line="278" w:lineRule="auto"/>
            </w:pPr>
            <w:r w:rsidRPr="009D29FC">
              <w:t>1</w:t>
            </w:r>
          </w:p>
        </w:tc>
        <w:tc>
          <w:tcPr>
            <w:tcW w:w="499" w:type="pct"/>
            <w:hideMark/>
          </w:tcPr>
          <w:p w14:paraId="228EDFBA" w14:textId="77777777" w:rsidR="009D29FC" w:rsidRPr="009D29FC" w:rsidRDefault="009D29FC" w:rsidP="009D29FC">
            <w:pPr>
              <w:spacing w:after="160" w:line="278" w:lineRule="auto"/>
            </w:pPr>
            <w:r w:rsidRPr="009D29FC">
              <w:t>1,5 *</w:t>
            </w:r>
          </w:p>
        </w:tc>
        <w:tc>
          <w:tcPr>
            <w:tcW w:w="1250" w:type="pct"/>
            <w:hideMark/>
          </w:tcPr>
          <w:p w14:paraId="5E29BA76" w14:textId="77777777" w:rsidR="009D29FC" w:rsidRPr="009D29FC" w:rsidRDefault="009D29FC" w:rsidP="009D29FC">
            <w:pPr>
              <w:spacing w:after="160" w:line="278" w:lineRule="auto"/>
            </w:pPr>
            <w:r w:rsidRPr="009D29FC">
              <w:t>0,8 °</w:t>
            </w:r>
          </w:p>
        </w:tc>
      </w:tr>
    </w:tbl>
    <w:p w14:paraId="00E33F2A" w14:textId="77777777" w:rsidR="009D29FC" w:rsidRPr="009D29FC" w:rsidRDefault="009D29FC" w:rsidP="009D29FC">
      <w:r w:rsidRPr="009D29FC">
        <w:t>Groupe témoin : souris non soumises au stress de l’évitement de l’eau</w:t>
      </w:r>
      <w:r w:rsidRPr="009D29FC">
        <w:br/>
        <w:t xml:space="preserve">WAS (Water </w:t>
      </w:r>
      <w:proofErr w:type="spellStart"/>
      <w:r w:rsidRPr="009D29FC">
        <w:t>avoidance</w:t>
      </w:r>
      <w:proofErr w:type="spellEnd"/>
      <w:r w:rsidRPr="009D29FC">
        <w:t xml:space="preserve"> stress) : souris soumises au stress de l’évitement de l’eau</w:t>
      </w:r>
      <w:r w:rsidRPr="009D29FC">
        <w:br/>
        <w:t>CORT 108297 : souris à qui on a injecté du CORT 108297</w:t>
      </w:r>
    </w:p>
    <w:p w14:paraId="28FACC62" w14:textId="77777777" w:rsidR="009D29FC" w:rsidRPr="009D29FC" w:rsidRDefault="009D29FC" w:rsidP="009D29FC">
      <w:r w:rsidRPr="009D29FC">
        <w:t>* : différence significative par rapport au groupe témoin</w:t>
      </w:r>
      <w:r w:rsidRPr="009D29FC">
        <w:br/>
        <w:t>° : différence non significative par rapport au groupe témoin</w:t>
      </w:r>
    </w:p>
    <w:p w14:paraId="387F96D3" w14:textId="77777777" w:rsidR="009D29FC" w:rsidRPr="009D29FC" w:rsidRDefault="009D29FC" w:rsidP="009D29FC">
      <w:r w:rsidRPr="009D29FC">
        <w:rPr>
          <w:i/>
          <w:iCs/>
        </w:rPr>
        <w:t xml:space="preserve">Source : d’après Blin et al. (2023). </w:t>
      </w:r>
      <w:proofErr w:type="spellStart"/>
      <w:r w:rsidRPr="009D29FC">
        <w:rPr>
          <w:i/>
          <w:iCs/>
        </w:rPr>
        <w:t>Psychological</w:t>
      </w:r>
      <w:proofErr w:type="spellEnd"/>
      <w:r w:rsidRPr="009D29FC">
        <w:rPr>
          <w:i/>
          <w:iCs/>
        </w:rPr>
        <w:t xml:space="preserve"> stress </w:t>
      </w:r>
      <w:proofErr w:type="spellStart"/>
      <w:r w:rsidRPr="009D29FC">
        <w:rPr>
          <w:i/>
          <w:iCs/>
        </w:rPr>
        <w:t>induces</w:t>
      </w:r>
      <w:proofErr w:type="spellEnd"/>
      <w:r w:rsidRPr="009D29FC">
        <w:rPr>
          <w:i/>
          <w:iCs/>
        </w:rPr>
        <w:t xml:space="preserve"> </w:t>
      </w:r>
      <w:proofErr w:type="spellStart"/>
      <w:r w:rsidRPr="009D29FC">
        <w:rPr>
          <w:i/>
          <w:iCs/>
        </w:rPr>
        <w:t>anincrease</w:t>
      </w:r>
      <w:proofErr w:type="spellEnd"/>
      <w:r w:rsidRPr="009D29FC">
        <w:rPr>
          <w:i/>
          <w:iCs/>
        </w:rPr>
        <w:t xml:space="preserve"> in </w:t>
      </w:r>
      <w:proofErr w:type="spellStart"/>
      <w:r w:rsidRPr="009D29FC">
        <w:rPr>
          <w:i/>
          <w:iCs/>
        </w:rPr>
        <w:t>cholinergic</w:t>
      </w:r>
      <w:proofErr w:type="spellEnd"/>
      <w:r w:rsidRPr="009D29FC">
        <w:rPr>
          <w:i/>
          <w:iCs/>
        </w:rPr>
        <w:t xml:space="preserve"> </w:t>
      </w:r>
      <w:proofErr w:type="spellStart"/>
      <w:r w:rsidRPr="009D29FC">
        <w:rPr>
          <w:i/>
          <w:iCs/>
        </w:rPr>
        <w:t>enteric</w:t>
      </w:r>
      <w:proofErr w:type="spellEnd"/>
      <w:r w:rsidRPr="009D29FC">
        <w:rPr>
          <w:i/>
          <w:iCs/>
        </w:rPr>
        <w:t xml:space="preserve"> </w:t>
      </w:r>
      <w:proofErr w:type="spellStart"/>
      <w:r w:rsidRPr="009D29FC">
        <w:rPr>
          <w:i/>
          <w:iCs/>
        </w:rPr>
        <w:t>neuromuscular</w:t>
      </w:r>
      <w:proofErr w:type="spellEnd"/>
      <w:r w:rsidRPr="009D29FC">
        <w:rPr>
          <w:i/>
          <w:iCs/>
        </w:rPr>
        <w:t xml:space="preserve"> </w:t>
      </w:r>
      <w:proofErr w:type="spellStart"/>
      <w:r w:rsidRPr="009D29FC">
        <w:rPr>
          <w:i/>
          <w:iCs/>
        </w:rPr>
        <w:t>pathways</w:t>
      </w:r>
      <w:proofErr w:type="spellEnd"/>
      <w:r w:rsidRPr="009D29FC">
        <w:rPr>
          <w:i/>
          <w:iCs/>
        </w:rPr>
        <w:t xml:space="preserve"> </w:t>
      </w:r>
      <w:proofErr w:type="spellStart"/>
      <w:r w:rsidRPr="009D29FC">
        <w:rPr>
          <w:i/>
          <w:iCs/>
        </w:rPr>
        <w:t>mediates</w:t>
      </w:r>
      <w:proofErr w:type="spellEnd"/>
      <w:r w:rsidRPr="009D29FC">
        <w:rPr>
          <w:i/>
          <w:iCs/>
        </w:rPr>
        <w:t xml:space="preserve"> by </w:t>
      </w:r>
      <w:proofErr w:type="spellStart"/>
      <w:r w:rsidRPr="009D29FC">
        <w:rPr>
          <w:i/>
          <w:iCs/>
        </w:rPr>
        <w:t>glucocorticoid</w:t>
      </w:r>
      <w:proofErr w:type="spellEnd"/>
      <w:r w:rsidRPr="009D29FC">
        <w:rPr>
          <w:i/>
          <w:iCs/>
        </w:rPr>
        <w:t xml:space="preserve"> </w:t>
      </w:r>
      <w:proofErr w:type="spellStart"/>
      <w:r w:rsidRPr="009D29FC">
        <w:rPr>
          <w:i/>
          <w:iCs/>
        </w:rPr>
        <w:t>receptors</w:t>
      </w:r>
      <w:proofErr w:type="spellEnd"/>
    </w:p>
    <w:p w14:paraId="0B400A24" w14:textId="2ABE4EBD" w:rsidR="009D29FC" w:rsidRPr="009D29FC" w:rsidRDefault="009D29FC" w:rsidP="009D29FC">
      <w:r w:rsidRPr="009D29FC">
        <w:rPr>
          <w:b/>
          <w:bCs/>
          <w:u w:val="single"/>
        </w:rPr>
        <w:lastRenderedPageBreak/>
        <w:t>Document 3</w:t>
      </w:r>
      <w:r w:rsidRPr="009D29FC">
        <w:rPr>
          <w:b/>
          <w:bCs/>
        </w:rPr>
        <w:t> : étude du transit intestinal dans différentes conditions</w:t>
      </w:r>
    </w:p>
    <w:p w14:paraId="32D1C040" w14:textId="77777777" w:rsidR="009D29FC" w:rsidRPr="009D29FC" w:rsidRDefault="009D29FC" w:rsidP="009D29FC">
      <w:r w:rsidRPr="009D29FC">
        <w:rPr>
          <w:b/>
          <w:bCs/>
          <w:u w:val="single"/>
        </w:rPr>
        <w:t>Document 3a</w:t>
      </w:r>
      <w:r w:rsidRPr="009D29FC">
        <w:rPr>
          <w:b/>
          <w:bCs/>
        </w:rPr>
        <w:t> : mesures de la capacité des muscles de la paroi de l’intestin à se contracter</w:t>
      </w:r>
    </w:p>
    <w:p w14:paraId="33C9216E" w14:textId="77777777" w:rsidR="009D29FC" w:rsidRPr="009D29FC" w:rsidRDefault="009D29FC" w:rsidP="009D29FC">
      <w:r w:rsidRPr="009D29FC">
        <w:t>Des bandes de paroi intestinale ont été récupérées sur des souris soumises à un stress de l’évitement de l’eau. Leur force de contraction a été enregistrée en continu à l’aide de capteurs de force isométrique. A un moment donné, ces bandes ont été soumises à une stimulation électrique (EFS), ce qui active les neurones du plexus myentérique.</w:t>
      </w:r>
      <w:r w:rsidRPr="009D29FC">
        <w:br/>
        <w:t>La réponse a été enregistrée d’une part, en laissant les récepteurs à l’acétylcholine fonctionnels (à gauche) ou en les bloquant à l’aide d’un antagoniste de ces récepteurs, l’atropine (à droite). Les récepteurs à l’acétylcholine sont situés sur les cellules des muscles lisses de l’intestin.</w:t>
      </w:r>
      <w:r w:rsidRPr="009D29FC">
        <w:br/>
        <w:t>La « hauteur » des signaux représente la force de contraction de la bande de paroi intestinale.</w:t>
      </w:r>
    </w:p>
    <w:p w14:paraId="46144C0E" w14:textId="6E529483" w:rsidR="009D29FC" w:rsidRPr="009D29FC" w:rsidRDefault="009D29FC" w:rsidP="009D29FC">
      <w:pPr>
        <w:jc w:val="center"/>
      </w:pPr>
      <w:r w:rsidRPr="009D29FC">
        <w:drawing>
          <wp:inline distT="0" distB="0" distL="0" distR="0" wp14:anchorId="68FC4455" wp14:editId="415B6D14">
            <wp:extent cx="3871495" cy="1724025"/>
            <wp:effectExtent l="0" t="0" r="0" b="0"/>
            <wp:docPr id="94731357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5178" cy="1725665"/>
                    </a:xfrm>
                    <a:prstGeom prst="rect">
                      <a:avLst/>
                    </a:prstGeom>
                    <a:noFill/>
                    <a:ln>
                      <a:noFill/>
                    </a:ln>
                  </pic:spPr>
                </pic:pic>
              </a:graphicData>
            </a:graphic>
          </wp:inline>
        </w:drawing>
      </w:r>
    </w:p>
    <w:p w14:paraId="13B69FC9" w14:textId="77777777" w:rsidR="009D29FC" w:rsidRPr="009D29FC" w:rsidRDefault="009D29FC" w:rsidP="009D29FC">
      <w:r w:rsidRPr="009D29FC">
        <w:rPr>
          <w:i/>
          <w:iCs/>
        </w:rPr>
        <w:t xml:space="preserve">Source : d’après Blin et al. (2023). </w:t>
      </w:r>
      <w:proofErr w:type="spellStart"/>
      <w:r w:rsidRPr="009D29FC">
        <w:rPr>
          <w:i/>
          <w:iCs/>
        </w:rPr>
        <w:t>Psychological</w:t>
      </w:r>
      <w:proofErr w:type="spellEnd"/>
      <w:r w:rsidRPr="009D29FC">
        <w:rPr>
          <w:i/>
          <w:iCs/>
        </w:rPr>
        <w:t xml:space="preserve"> stress </w:t>
      </w:r>
      <w:proofErr w:type="spellStart"/>
      <w:r w:rsidRPr="009D29FC">
        <w:rPr>
          <w:i/>
          <w:iCs/>
        </w:rPr>
        <w:t>induces</w:t>
      </w:r>
      <w:proofErr w:type="spellEnd"/>
      <w:r w:rsidRPr="009D29FC">
        <w:rPr>
          <w:i/>
          <w:iCs/>
        </w:rPr>
        <w:t xml:space="preserve"> an </w:t>
      </w:r>
      <w:proofErr w:type="spellStart"/>
      <w:r w:rsidRPr="009D29FC">
        <w:rPr>
          <w:i/>
          <w:iCs/>
        </w:rPr>
        <w:t>increase</w:t>
      </w:r>
      <w:proofErr w:type="spellEnd"/>
      <w:r w:rsidRPr="009D29FC">
        <w:rPr>
          <w:i/>
          <w:iCs/>
        </w:rPr>
        <w:t xml:space="preserve"> in </w:t>
      </w:r>
      <w:proofErr w:type="spellStart"/>
      <w:r w:rsidRPr="009D29FC">
        <w:rPr>
          <w:i/>
          <w:iCs/>
        </w:rPr>
        <w:t>cholinergic</w:t>
      </w:r>
      <w:proofErr w:type="spellEnd"/>
      <w:r w:rsidRPr="009D29FC">
        <w:rPr>
          <w:i/>
          <w:iCs/>
        </w:rPr>
        <w:t xml:space="preserve"> </w:t>
      </w:r>
      <w:proofErr w:type="spellStart"/>
      <w:r w:rsidRPr="009D29FC">
        <w:rPr>
          <w:i/>
          <w:iCs/>
        </w:rPr>
        <w:t>enteric</w:t>
      </w:r>
      <w:proofErr w:type="spellEnd"/>
      <w:r w:rsidRPr="009D29FC">
        <w:rPr>
          <w:i/>
          <w:iCs/>
        </w:rPr>
        <w:t xml:space="preserve"> </w:t>
      </w:r>
      <w:proofErr w:type="spellStart"/>
      <w:r w:rsidRPr="009D29FC">
        <w:rPr>
          <w:i/>
          <w:iCs/>
        </w:rPr>
        <w:t>neuromuscular</w:t>
      </w:r>
      <w:proofErr w:type="spellEnd"/>
      <w:r w:rsidRPr="009D29FC">
        <w:rPr>
          <w:i/>
          <w:iCs/>
        </w:rPr>
        <w:t xml:space="preserve"> </w:t>
      </w:r>
      <w:proofErr w:type="spellStart"/>
      <w:r w:rsidRPr="009D29FC">
        <w:rPr>
          <w:i/>
          <w:iCs/>
        </w:rPr>
        <w:t>pathways</w:t>
      </w:r>
      <w:proofErr w:type="spellEnd"/>
      <w:r w:rsidRPr="009D29FC">
        <w:rPr>
          <w:i/>
          <w:iCs/>
        </w:rPr>
        <w:t xml:space="preserve"> </w:t>
      </w:r>
      <w:proofErr w:type="spellStart"/>
      <w:r w:rsidRPr="009D29FC">
        <w:rPr>
          <w:i/>
          <w:iCs/>
        </w:rPr>
        <w:t>mediates</w:t>
      </w:r>
      <w:proofErr w:type="spellEnd"/>
      <w:r w:rsidRPr="009D29FC">
        <w:rPr>
          <w:i/>
          <w:iCs/>
        </w:rPr>
        <w:t xml:space="preserve"> by </w:t>
      </w:r>
      <w:proofErr w:type="spellStart"/>
      <w:r w:rsidRPr="009D29FC">
        <w:rPr>
          <w:i/>
          <w:iCs/>
        </w:rPr>
        <w:t>glucocorticoid</w:t>
      </w:r>
      <w:proofErr w:type="spellEnd"/>
      <w:r w:rsidRPr="009D29FC">
        <w:rPr>
          <w:i/>
          <w:iCs/>
        </w:rPr>
        <w:t xml:space="preserve"> </w:t>
      </w:r>
      <w:proofErr w:type="spellStart"/>
      <w:r w:rsidRPr="009D29FC">
        <w:rPr>
          <w:i/>
          <w:iCs/>
        </w:rPr>
        <w:t>receptors</w:t>
      </w:r>
      <w:proofErr w:type="spellEnd"/>
    </w:p>
    <w:p w14:paraId="601CAEAB" w14:textId="77777777" w:rsidR="009D29FC" w:rsidRPr="009D29FC" w:rsidRDefault="009D29FC" w:rsidP="009D29FC">
      <w:r w:rsidRPr="009D29FC">
        <w:t> </w:t>
      </w:r>
    </w:p>
    <w:p w14:paraId="4765CF5B" w14:textId="77777777" w:rsidR="009D29FC" w:rsidRPr="009D29FC" w:rsidRDefault="009D29FC" w:rsidP="009D29FC">
      <w:r w:rsidRPr="009D29FC">
        <w:rPr>
          <w:b/>
          <w:bCs/>
          <w:u w:val="single"/>
        </w:rPr>
        <w:t>Document 3b</w:t>
      </w:r>
      <w:r w:rsidRPr="009D29FC">
        <w:rPr>
          <w:b/>
          <w:bCs/>
        </w:rPr>
        <w:t> : comptage du nombre de boulettes fécales émises</w:t>
      </w:r>
    </w:p>
    <w:p w14:paraId="27D0ABDA" w14:textId="77777777" w:rsidR="009D29FC" w:rsidRPr="009D29FC" w:rsidRDefault="009D29FC" w:rsidP="009D29FC">
      <w:r w:rsidRPr="009D29FC">
        <w:t>Les boulettes fécales (crottes) émises par différents lots de souris soumises au stress de l’évitement de l’eau ont été comptées avant d’être soumises au stress (D0) et après la période de stress (D4). Certaines ont au préalable subi une injection de CORT108297. Chaque point du graphique correspond à la mesure réalisée chez une souris.</w:t>
      </w:r>
    </w:p>
    <w:p w14:paraId="0B5DA337" w14:textId="4E5733EF" w:rsidR="009D29FC" w:rsidRPr="009D29FC" w:rsidRDefault="009D29FC" w:rsidP="009D29FC">
      <w:pPr>
        <w:jc w:val="center"/>
      </w:pPr>
      <w:r w:rsidRPr="009D29FC">
        <w:drawing>
          <wp:anchor distT="0" distB="0" distL="114300" distR="114300" simplePos="0" relativeHeight="251661312" behindDoc="0" locked="0" layoutInCell="1" allowOverlap="1" wp14:anchorId="30D651D6" wp14:editId="6A826701">
            <wp:simplePos x="0" y="0"/>
            <wp:positionH relativeFrom="column">
              <wp:posOffset>2016760</wp:posOffset>
            </wp:positionH>
            <wp:positionV relativeFrom="paragraph">
              <wp:posOffset>317693</wp:posOffset>
            </wp:positionV>
            <wp:extent cx="4724764" cy="2505075"/>
            <wp:effectExtent l="0" t="0" r="0" b="0"/>
            <wp:wrapSquare wrapText="bothSides"/>
            <wp:docPr id="20798321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764"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B205E" w14:textId="40E939B2" w:rsidR="009D29FC" w:rsidRPr="009D29FC" w:rsidRDefault="009D29FC" w:rsidP="009D29FC">
      <w:r w:rsidRPr="009D29FC">
        <w:t xml:space="preserve">WAS (Water </w:t>
      </w:r>
      <w:proofErr w:type="spellStart"/>
      <w:r w:rsidRPr="009D29FC">
        <w:t>avoidance</w:t>
      </w:r>
      <w:proofErr w:type="spellEnd"/>
      <w:r w:rsidRPr="009D29FC">
        <w:t xml:space="preserve"> stress) : souris soumises au stress de l’évitement de l’eau</w:t>
      </w:r>
      <w:r w:rsidRPr="009D29FC">
        <w:br/>
        <w:t>CORT 108297 : souris à qui on a injecté du CORT 108297</w:t>
      </w:r>
      <w:r w:rsidRPr="009D29FC">
        <w:br/>
        <w:t>*** : significativement différent</w:t>
      </w:r>
    </w:p>
    <w:p w14:paraId="37257025" w14:textId="77777777" w:rsidR="009D29FC" w:rsidRPr="009D29FC" w:rsidRDefault="009D29FC" w:rsidP="009D29FC">
      <w:r w:rsidRPr="009D29FC">
        <w:rPr>
          <w:i/>
          <w:iCs/>
        </w:rPr>
        <w:t xml:space="preserve">Source : d’après Blin et al. (2023). </w:t>
      </w:r>
      <w:proofErr w:type="spellStart"/>
      <w:r w:rsidRPr="009D29FC">
        <w:rPr>
          <w:i/>
          <w:iCs/>
        </w:rPr>
        <w:t>Psychological</w:t>
      </w:r>
      <w:proofErr w:type="spellEnd"/>
      <w:r w:rsidRPr="009D29FC">
        <w:rPr>
          <w:i/>
          <w:iCs/>
        </w:rPr>
        <w:t xml:space="preserve"> stress </w:t>
      </w:r>
      <w:proofErr w:type="spellStart"/>
      <w:r w:rsidRPr="009D29FC">
        <w:rPr>
          <w:i/>
          <w:iCs/>
        </w:rPr>
        <w:t>induces</w:t>
      </w:r>
      <w:proofErr w:type="spellEnd"/>
      <w:r w:rsidRPr="009D29FC">
        <w:rPr>
          <w:i/>
          <w:iCs/>
        </w:rPr>
        <w:t xml:space="preserve"> an </w:t>
      </w:r>
      <w:proofErr w:type="spellStart"/>
      <w:r w:rsidRPr="009D29FC">
        <w:rPr>
          <w:i/>
          <w:iCs/>
        </w:rPr>
        <w:t>increase</w:t>
      </w:r>
      <w:proofErr w:type="spellEnd"/>
      <w:r w:rsidRPr="009D29FC">
        <w:rPr>
          <w:i/>
          <w:iCs/>
        </w:rPr>
        <w:t xml:space="preserve"> in </w:t>
      </w:r>
      <w:proofErr w:type="spellStart"/>
      <w:r w:rsidRPr="009D29FC">
        <w:rPr>
          <w:i/>
          <w:iCs/>
        </w:rPr>
        <w:t>cholinergic</w:t>
      </w:r>
      <w:proofErr w:type="spellEnd"/>
      <w:r w:rsidRPr="009D29FC">
        <w:rPr>
          <w:i/>
          <w:iCs/>
        </w:rPr>
        <w:t xml:space="preserve"> </w:t>
      </w:r>
      <w:proofErr w:type="spellStart"/>
      <w:r w:rsidRPr="009D29FC">
        <w:rPr>
          <w:i/>
          <w:iCs/>
        </w:rPr>
        <w:t>enteric</w:t>
      </w:r>
      <w:proofErr w:type="spellEnd"/>
      <w:r w:rsidRPr="009D29FC">
        <w:rPr>
          <w:i/>
          <w:iCs/>
        </w:rPr>
        <w:t xml:space="preserve"> </w:t>
      </w:r>
      <w:proofErr w:type="spellStart"/>
      <w:r w:rsidRPr="009D29FC">
        <w:rPr>
          <w:i/>
          <w:iCs/>
        </w:rPr>
        <w:t>neuromuscular</w:t>
      </w:r>
      <w:proofErr w:type="spellEnd"/>
      <w:r w:rsidRPr="009D29FC">
        <w:rPr>
          <w:i/>
          <w:iCs/>
        </w:rPr>
        <w:t xml:space="preserve"> </w:t>
      </w:r>
      <w:proofErr w:type="spellStart"/>
      <w:r w:rsidRPr="009D29FC">
        <w:rPr>
          <w:i/>
          <w:iCs/>
        </w:rPr>
        <w:t>pathways</w:t>
      </w:r>
      <w:proofErr w:type="spellEnd"/>
      <w:r w:rsidRPr="009D29FC">
        <w:rPr>
          <w:i/>
          <w:iCs/>
        </w:rPr>
        <w:t xml:space="preserve"> </w:t>
      </w:r>
      <w:proofErr w:type="spellStart"/>
      <w:r w:rsidRPr="009D29FC">
        <w:rPr>
          <w:i/>
          <w:iCs/>
        </w:rPr>
        <w:t>mediates</w:t>
      </w:r>
      <w:proofErr w:type="spellEnd"/>
      <w:r w:rsidRPr="009D29FC">
        <w:rPr>
          <w:i/>
          <w:iCs/>
        </w:rPr>
        <w:t xml:space="preserve"> by </w:t>
      </w:r>
      <w:proofErr w:type="spellStart"/>
      <w:r w:rsidRPr="009D29FC">
        <w:rPr>
          <w:i/>
          <w:iCs/>
        </w:rPr>
        <w:t>glucocorticoid</w:t>
      </w:r>
      <w:proofErr w:type="spellEnd"/>
      <w:r w:rsidRPr="009D29FC">
        <w:rPr>
          <w:i/>
          <w:iCs/>
        </w:rPr>
        <w:t xml:space="preserve"> </w:t>
      </w:r>
      <w:proofErr w:type="spellStart"/>
      <w:r w:rsidRPr="009D29FC">
        <w:rPr>
          <w:i/>
          <w:iCs/>
        </w:rPr>
        <w:t>receptors</w:t>
      </w:r>
      <w:proofErr w:type="spellEnd"/>
    </w:p>
    <w:p w14:paraId="1F41E1E3" w14:textId="77777777" w:rsidR="009D29FC" w:rsidRDefault="009D29FC"/>
    <w:sectPr w:rsidR="009D29FC" w:rsidSect="009D29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FC"/>
    <w:rsid w:val="00436B95"/>
    <w:rsid w:val="009D2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02F2"/>
  <w15:chartTrackingRefBased/>
  <w15:docId w15:val="{0275FBE1-46E2-42F7-93B2-147A9999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9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9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9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9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9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9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9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9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9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9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9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9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9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9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9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9FC"/>
    <w:rPr>
      <w:rFonts w:eastAsiaTheme="majorEastAsia" w:cstheme="majorBidi"/>
      <w:color w:val="272727" w:themeColor="text1" w:themeTint="D8"/>
    </w:rPr>
  </w:style>
  <w:style w:type="paragraph" w:styleId="Titre">
    <w:name w:val="Title"/>
    <w:basedOn w:val="Normal"/>
    <w:next w:val="Normal"/>
    <w:link w:val="TitreCar"/>
    <w:uiPriority w:val="10"/>
    <w:qFormat/>
    <w:rsid w:val="009D2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9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9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9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9FC"/>
    <w:pPr>
      <w:spacing w:before="160"/>
      <w:jc w:val="center"/>
    </w:pPr>
    <w:rPr>
      <w:i/>
      <w:iCs/>
      <w:color w:val="404040" w:themeColor="text1" w:themeTint="BF"/>
    </w:rPr>
  </w:style>
  <w:style w:type="character" w:customStyle="1" w:styleId="CitationCar">
    <w:name w:val="Citation Car"/>
    <w:basedOn w:val="Policepardfaut"/>
    <w:link w:val="Citation"/>
    <w:uiPriority w:val="29"/>
    <w:rsid w:val="009D29FC"/>
    <w:rPr>
      <w:i/>
      <w:iCs/>
      <w:color w:val="404040" w:themeColor="text1" w:themeTint="BF"/>
    </w:rPr>
  </w:style>
  <w:style w:type="paragraph" w:styleId="Paragraphedeliste">
    <w:name w:val="List Paragraph"/>
    <w:basedOn w:val="Normal"/>
    <w:uiPriority w:val="34"/>
    <w:qFormat/>
    <w:rsid w:val="009D29FC"/>
    <w:pPr>
      <w:ind w:left="720"/>
      <w:contextualSpacing/>
    </w:pPr>
  </w:style>
  <w:style w:type="character" w:styleId="Accentuationintense">
    <w:name w:val="Intense Emphasis"/>
    <w:basedOn w:val="Policepardfaut"/>
    <w:uiPriority w:val="21"/>
    <w:qFormat/>
    <w:rsid w:val="009D29FC"/>
    <w:rPr>
      <w:i/>
      <w:iCs/>
      <w:color w:val="0F4761" w:themeColor="accent1" w:themeShade="BF"/>
    </w:rPr>
  </w:style>
  <w:style w:type="paragraph" w:styleId="Citationintense">
    <w:name w:val="Intense Quote"/>
    <w:basedOn w:val="Normal"/>
    <w:next w:val="Normal"/>
    <w:link w:val="CitationintenseCar"/>
    <w:uiPriority w:val="30"/>
    <w:qFormat/>
    <w:rsid w:val="009D2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9FC"/>
    <w:rPr>
      <w:i/>
      <w:iCs/>
      <w:color w:val="0F4761" w:themeColor="accent1" w:themeShade="BF"/>
    </w:rPr>
  </w:style>
  <w:style w:type="character" w:styleId="Rfrenceintense">
    <w:name w:val="Intense Reference"/>
    <w:basedOn w:val="Policepardfaut"/>
    <w:uiPriority w:val="32"/>
    <w:qFormat/>
    <w:rsid w:val="009D29FC"/>
    <w:rPr>
      <w:b/>
      <w:bCs/>
      <w:smallCaps/>
      <w:color w:val="0F4761" w:themeColor="accent1" w:themeShade="BF"/>
      <w:spacing w:val="5"/>
    </w:rPr>
  </w:style>
  <w:style w:type="table" w:styleId="Grilledetableauclaire">
    <w:name w:val="Grid Table Light"/>
    <w:basedOn w:val="TableauNormal"/>
    <w:uiPriority w:val="40"/>
    <w:rsid w:val="009D29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9D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5850">
      <w:bodyDiv w:val="1"/>
      <w:marLeft w:val="0"/>
      <w:marRight w:val="0"/>
      <w:marTop w:val="0"/>
      <w:marBottom w:val="0"/>
      <w:divBdr>
        <w:top w:val="none" w:sz="0" w:space="0" w:color="auto"/>
        <w:left w:val="none" w:sz="0" w:space="0" w:color="auto"/>
        <w:bottom w:val="none" w:sz="0" w:space="0" w:color="auto"/>
        <w:right w:val="none" w:sz="0" w:space="0" w:color="auto"/>
      </w:divBdr>
    </w:div>
    <w:div w:id="13573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5320</Characters>
  <Application>Microsoft Office Word</Application>
  <DocSecurity>0</DocSecurity>
  <Lines>44</Lines>
  <Paragraphs>12</Paragraphs>
  <ScaleCrop>false</ScaleCrop>
  <Company>Lycée St Charles de Rillieux-la-Pape</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MACEROT</dc:creator>
  <cp:keywords/>
  <dc:description/>
  <cp:lastModifiedBy>Rosalie MACEROT</cp:lastModifiedBy>
  <cp:revision>1</cp:revision>
  <dcterms:created xsi:type="dcterms:W3CDTF">2024-09-11T07:52:00Z</dcterms:created>
  <dcterms:modified xsi:type="dcterms:W3CDTF">2024-09-11T07:54:00Z</dcterms:modified>
</cp:coreProperties>
</file>